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24AA6C" w14:textId="5519796A" w:rsidR="00F928D7" w:rsidRDefault="00EE7D65" w:rsidP="00EE7D65">
      <w:pPr>
        <w:pStyle w:val="Heading1"/>
      </w:pPr>
      <w:r>
        <w:t xml:space="preserve">How debt to GDP ratio can harm economic growth </w:t>
      </w:r>
    </w:p>
    <w:p w14:paraId="4D53B40B" w14:textId="031EE874" w:rsidR="00EE7D65" w:rsidRDefault="00EE7D65" w:rsidP="00EE7D65">
      <w:pPr>
        <w:pStyle w:val="ListParagraph"/>
        <w:numPr>
          <w:ilvl w:val="0"/>
          <w:numId w:val="1"/>
        </w:numPr>
      </w:pPr>
      <w:r>
        <w:t xml:space="preserve">Debt-growth relationship is complex, varying across countries and affected </w:t>
      </w:r>
      <w:r w:rsidR="00487DF5">
        <w:t xml:space="preserve">by global factors </w:t>
      </w:r>
    </w:p>
    <w:p w14:paraId="53C85F44" w14:textId="7D387B8B" w:rsidR="00487DF5" w:rsidRDefault="00487DF5" w:rsidP="00487DF5">
      <w:pPr>
        <w:pStyle w:val="ListParagraph"/>
        <w:numPr>
          <w:ilvl w:val="1"/>
          <w:numId w:val="1"/>
        </w:numPr>
      </w:pPr>
      <w:r>
        <w:t>In the short run, fiscal expansion stimulates AD, thus increases GDP</w:t>
      </w:r>
    </w:p>
    <w:p w14:paraId="7AE88F62" w14:textId="285A1D8E" w:rsidR="00487DF5" w:rsidRDefault="00487DF5" w:rsidP="00487DF5">
      <w:pPr>
        <w:pStyle w:val="ListParagraph"/>
        <w:numPr>
          <w:ilvl w:val="1"/>
          <w:numId w:val="1"/>
        </w:numPr>
      </w:pPr>
      <w:r>
        <w:t>In the long run there are three schools of thought – that public debt accumulation is negatively associated to growth, that the association exist only at high levels of public debt, and that there is no association at all</w:t>
      </w:r>
    </w:p>
    <w:p w14:paraId="247499F5" w14:textId="586F4B8B" w:rsidR="00487DF5" w:rsidRDefault="00487DF5" w:rsidP="00487DF5">
      <w:pPr>
        <w:pStyle w:val="ListParagraph"/>
        <w:numPr>
          <w:ilvl w:val="0"/>
          <w:numId w:val="1"/>
        </w:numPr>
      </w:pPr>
      <w:r>
        <w:t>Paper assesses a panel of 40 advanced and emerging economies across 40 years and finds that accumulation of public debt over long periods is associated with a lower level of economic activity</w:t>
      </w:r>
      <w:r w:rsidR="009608AC">
        <w:t>. This can occur for several reasons:</w:t>
      </w:r>
    </w:p>
    <w:p w14:paraId="789B4E15" w14:textId="6D04E0ED" w:rsidR="009608AC" w:rsidRDefault="009608AC" w:rsidP="009608AC">
      <w:pPr>
        <w:pStyle w:val="ListParagraph"/>
        <w:numPr>
          <w:ilvl w:val="1"/>
          <w:numId w:val="1"/>
        </w:numPr>
      </w:pPr>
      <w:r>
        <w:t xml:space="preserve">Crowding out of private investment plus weaker investor sentiment </w:t>
      </w:r>
    </w:p>
    <w:p w14:paraId="37E14DEB" w14:textId="75375C08" w:rsidR="009608AC" w:rsidRDefault="009608AC" w:rsidP="009608AC">
      <w:pPr>
        <w:pStyle w:val="ListParagraph"/>
        <w:numPr>
          <w:ilvl w:val="1"/>
          <w:numId w:val="1"/>
        </w:numPr>
      </w:pPr>
      <w:r>
        <w:t xml:space="preserve">Higher long term interest rates – why? </w:t>
      </w:r>
    </w:p>
    <w:p w14:paraId="67D29D88" w14:textId="663C8ADF" w:rsidR="009608AC" w:rsidRDefault="009608AC" w:rsidP="009608AC">
      <w:pPr>
        <w:pStyle w:val="ListParagraph"/>
        <w:numPr>
          <w:ilvl w:val="1"/>
          <w:numId w:val="1"/>
        </w:numPr>
      </w:pPr>
      <w:r>
        <w:t xml:space="preserve">More aggressive future taxation </w:t>
      </w:r>
    </w:p>
    <w:p w14:paraId="6E45F7CB" w14:textId="2D127BAE" w:rsidR="004D3895" w:rsidRPr="004D3895" w:rsidRDefault="00F928D7" w:rsidP="004D3895">
      <w:pPr>
        <w:pStyle w:val="ListParagraph"/>
        <w:numPr>
          <w:ilvl w:val="1"/>
          <w:numId w:val="1"/>
        </w:numPr>
        <w:rPr>
          <w:color w:val="FF0000"/>
        </w:rPr>
      </w:pPr>
      <w:r w:rsidRPr="00F928D7">
        <w:t>Upward sloping debt trajectory could lead investors to</w:t>
      </w:r>
      <w:r>
        <w:t xml:space="preserve"> lose confidence and</w:t>
      </w:r>
      <w:r w:rsidRPr="00F928D7">
        <w:t xml:space="preserve"> worry about debt sustainability, </w:t>
      </w:r>
      <w:r w:rsidR="004D3895">
        <w:t xml:space="preserve">therefore demand higher interest rates when holding government securities. </w:t>
      </w:r>
    </w:p>
    <w:p w14:paraId="137D730F" w14:textId="4EB3AFBC" w:rsidR="00623CD0" w:rsidRPr="00623CD0" w:rsidRDefault="004D3895" w:rsidP="004D3895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Composition of the spending is key i.e. into productive public capital could be growth-enhancing. </w:t>
      </w:r>
    </w:p>
    <w:p w14:paraId="5E699C5B" w14:textId="3E88325A" w:rsidR="00623CD0" w:rsidRPr="00623CD0" w:rsidRDefault="00623CD0" w:rsidP="00623CD0">
      <w:pPr>
        <w:pStyle w:val="ListParagraph"/>
        <w:numPr>
          <w:ilvl w:val="1"/>
          <w:numId w:val="1"/>
        </w:numPr>
        <w:rPr>
          <w:color w:val="FF0000"/>
        </w:rPr>
      </w:pPr>
      <w:r>
        <w:t xml:space="preserve">This is why empirical analyse is required to see the net effect of debt accumulation on </w:t>
      </w:r>
      <w:r w:rsidR="007200DD">
        <w:t xml:space="preserve">economic growth </w:t>
      </w:r>
    </w:p>
    <w:p w14:paraId="391F99CE" w14:textId="0A00809D" w:rsidR="004D3895" w:rsidRPr="007200DD" w:rsidRDefault="004D3895" w:rsidP="00623CD0">
      <w:pPr>
        <w:pStyle w:val="ListParagraph"/>
        <w:numPr>
          <w:ilvl w:val="1"/>
          <w:numId w:val="1"/>
        </w:numPr>
        <w:rPr>
          <w:color w:val="FF0000"/>
        </w:rPr>
      </w:pPr>
      <w:r>
        <w:t xml:space="preserve">Covid spending i.e. eat out to help out </w:t>
      </w:r>
      <w:r w:rsidR="00623CD0">
        <w:t>costing taxpayers 522m</w:t>
      </w:r>
    </w:p>
    <w:p w14:paraId="5052B950" w14:textId="2B12C8BE" w:rsidR="007200DD" w:rsidRPr="007200DD" w:rsidRDefault="007200DD" w:rsidP="007200DD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No universally applicable threshold effect, but rising debt-to-GDP ratios above 60% are associated with lower growth rates. </w:t>
      </w:r>
    </w:p>
    <w:p w14:paraId="0AABF300" w14:textId="1BDA04A6" w:rsidR="007200DD" w:rsidRPr="007200DD" w:rsidRDefault="007200DD" w:rsidP="007200DD">
      <w:pPr>
        <w:pStyle w:val="ListParagraph"/>
        <w:numPr>
          <w:ilvl w:val="1"/>
          <w:numId w:val="1"/>
        </w:numPr>
        <w:rPr>
          <w:color w:val="FF0000"/>
        </w:rPr>
      </w:pPr>
      <w:r>
        <w:t xml:space="preserve">Ratio trajectory may be more important than ratio itself </w:t>
      </w:r>
    </w:p>
    <w:p w14:paraId="15F11B7D" w14:textId="50E08CC4" w:rsidR="007200DD" w:rsidRPr="007200DD" w:rsidRDefault="007200DD" w:rsidP="007200DD">
      <w:pPr>
        <w:pStyle w:val="ListParagraph"/>
        <w:numPr>
          <w:ilvl w:val="1"/>
          <w:numId w:val="1"/>
        </w:numPr>
        <w:rPr>
          <w:color w:val="FF0000"/>
        </w:rPr>
      </w:pPr>
      <w:r>
        <w:t>Debt trajectory effects weakens when splitting advanced from emerging economies</w:t>
      </w:r>
    </w:p>
    <w:p w14:paraId="51852DD8" w14:textId="4517E0D1" w:rsidR="007200DD" w:rsidRPr="000300D9" w:rsidRDefault="007200DD" w:rsidP="007200DD">
      <w:pPr>
        <w:pStyle w:val="ListParagraph"/>
        <w:numPr>
          <w:ilvl w:val="1"/>
          <w:numId w:val="1"/>
        </w:numPr>
        <w:rPr>
          <w:color w:val="FF0000"/>
        </w:rPr>
      </w:pPr>
      <w:r>
        <w:t xml:space="preserve">Causality is not causation </w:t>
      </w:r>
    </w:p>
    <w:p w14:paraId="40187DE8" w14:textId="369EBEEA" w:rsidR="000300D9" w:rsidRPr="000300D9" w:rsidRDefault="000300D9" w:rsidP="007200DD">
      <w:pPr>
        <w:pStyle w:val="ListParagraph"/>
        <w:numPr>
          <w:ilvl w:val="1"/>
          <w:numId w:val="1"/>
        </w:numPr>
        <w:rPr>
          <w:color w:val="FF0000"/>
        </w:rPr>
      </w:pPr>
      <w:r>
        <w:t>Ratio accumulation at a pace of 3% p.a. is associated with GDP growth outcomes that are 0.3% lower</w:t>
      </w:r>
    </w:p>
    <w:p w14:paraId="713F7013" w14:textId="626D817E" w:rsidR="000300D9" w:rsidRPr="000300D9" w:rsidRDefault="000300D9" w:rsidP="000300D9">
      <w:pPr>
        <w:pStyle w:val="ListParagraph"/>
        <w:numPr>
          <w:ilvl w:val="2"/>
          <w:numId w:val="1"/>
        </w:numPr>
        <w:rPr>
          <w:color w:val="FF0000"/>
        </w:rPr>
      </w:pPr>
      <w:r>
        <w:t xml:space="preserve">Becomes magnified in the long run </w:t>
      </w:r>
    </w:p>
    <w:p w14:paraId="1E0DB550" w14:textId="51ED03BB" w:rsidR="000300D9" w:rsidRPr="000300D9" w:rsidRDefault="000300D9" w:rsidP="000300D9">
      <w:pPr>
        <w:pStyle w:val="ListParagraph"/>
        <w:numPr>
          <w:ilvl w:val="1"/>
          <w:numId w:val="1"/>
        </w:numPr>
      </w:pPr>
      <w:r w:rsidRPr="000300D9">
        <w:t>The key to prudent debt financing is the reassurance, backed by commitment and action, that the increase in government debt is temporary and will not be a permanent departure from the prevailing norm.</w:t>
      </w:r>
    </w:p>
    <w:p w14:paraId="0CB4FB6C" w14:textId="2B0E5324" w:rsidR="000300D9" w:rsidRPr="000300D9" w:rsidRDefault="000300D9" w:rsidP="000300D9">
      <w:pPr>
        <w:pStyle w:val="ListParagraph"/>
        <w:numPr>
          <w:ilvl w:val="2"/>
          <w:numId w:val="1"/>
        </w:numPr>
      </w:pPr>
      <w:r>
        <w:t>Austerity will be needed – could this harm medium to short run growth?</w:t>
      </w:r>
    </w:p>
    <w:p w14:paraId="40A73856" w14:textId="2DC89949" w:rsidR="004D3895" w:rsidRPr="000300D9" w:rsidRDefault="004D3895" w:rsidP="004D3895"/>
    <w:p w14:paraId="03AD49C9" w14:textId="29F44357" w:rsidR="004D3895" w:rsidRPr="000300D9" w:rsidRDefault="004D3895" w:rsidP="004D3895"/>
    <w:p w14:paraId="1AC8379A" w14:textId="0E09BE01" w:rsidR="004D3895" w:rsidRPr="000300D9" w:rsidRDefault="004D3895" w:rsidP="004D3895"/>
    <w:p w14:paraId="26CAE28A" w14:textId="5061881F" w:rsidR="004D3895" w:rsidRPr="000300D9" w:rsidRDefault="004D3895" w:rsidP="004D3895"/>
    <w:p w14:paraId="48AFEBBF" w14:textId="77777777" w:rsidR="004D3895" w:rsidRPr="000300D9" w:rsidRDefault="004D3895" w:rsidP="004D3895"/>
    <w:p w14:paraId="08CA814D" w14:textId="5F98611F" w:rsidR="009608AC" w:rsidRDefault="009608AC" w:rsidP="00F928D7">
      <w:r w:rsidRPr="000300D9">
        <w:t xml:space="preserve">Analysis based on post-2008 economic growth – could this be different? </w:t>
      </w:r>
    </w:p>
    <w:p w14:paraId="73D2C251" w14:textId="77759861" w:rsidR="000300D9" w:rsidRDefault="000300D9" w:rsidP="00F928D7"/>
    <w:p w14:paraId="7563C449" w14:textId="0F6E18E3" w:rsidR="000300D9" w:rsidRDefault="000300D9" w:rsidP="00F928D7"/>
    <w:p w14:paraId="0DBD7364" w14:textId="38007C46" w:rsidR="000300D9" w:rsidRDefault="000300D9" w:rsidP="00F928D7"/>
    <w:p w14:paraId="3D8A74EC" w14:textId="5FDF676A" w:rsidR="009608AC" w:rsidRDefault="000300D9" w:rsidP="000300D9">
      <w:pPr>
        <w:pStyle w:val="Heading1"/>
      </w:pPr>
      <w:r>
        <w:lastRenderedPageBreak/>
        <w:t>Economic consequences of covid</w:t>
      </w:r>
      <w:r w:rsidR="00CA5A22">
        <w:t>-19:</w:t>
      </w:r>
      <w:r>
        <w:t xml:space="preserve"> counter-factual analysis </w:t>
      </w:r>
      <w:r w:rsidR="008675AB">
        <w:t>(2020)</w:t>
      </w:r>
    </w:p>
    <w:p w14:paraId="45A7F9FE" w14:textId="6CCB2AF6" w:rsidR="000300D9" w:rsidRDefault="00CA5A22" w:rsidP="004C4A00">
      <w:pPr>
        <w:pStyle w:val="ListParagraph"/>
        <w:numPr>
          <w:ilvl w:val="0"/>
          <w:numId w:val="1"/>
        </w:numPr>
      </w:pPr>
      <w:r>
        <w:t xml:space="preserve">Simultaneous demand and supply side shocks in an interconnected world economy. </w:t>
      </w:r>
    </w:p>
    <w:p w14:paraId="493C08A4" w14:textId="3A015171" w:rsidR="00EA2505" w:rsidRDefault="00EA2505" w:rsidP="00EA2505">
      <w:pPr>
        <w:pStyle w:val="ListParagraph"/>
        <w:numPr>
          <w:ilvl w:val="1"/>
          <w:numId w:val="1"/>
        </w:numPr>
      </w:pPr>
      <w:r>
        <w:t xml:space="preserve">Infections reduce labour supply and productivity </w:t>
      </w:r>
    </w:p>
    <w:p w14:paraId="5F9E3584" w14:textId="5F9842BD" w:rsidR="0042009A" w:rsidRDefault="0042009A" w:rsidP="00EA2505">
      <w:pPr>
        <w:pStyle w:val="ListParagraph"/>
        <w:numPr>
          <w:ilvl w:val="1"/>
          <w:numId w:val="1"/>
        </w:numPr>
      </w:pPr>
      <w:r>
        <w:t xml:space="preserve">Lockdowns, business closures and social distancing also disrupt supply </w:t>
      </w:r>
    </w:p>
    <w:p w14:paraId="6F452B71" w14:textId="2386D75F" w:rsidR="008B40CB" w:rsidRDefault="008B40CB" w:rsidP="00EA2505">
      <w:pPr>
        <w:pStyle w:val="ListParagraph"/>
        <w:numPr>
          <w:ilvl w:val="1"/>
          <w:numId w:val="1"/>
        </w:numPr>
      </w:pPr>
      <w:r>
        <w:t xml:space="preserve">On the demand side, loss of income through </w:t>
      </w:r>
      <w:r w:rsidR="00B23777">
        <w:t>deaths, quarantines and layoffs, coupled with worsened economic prospects, reduce</w:t>
      </w:r>
      <w:r w:rsidR="00C6321F">
        <w:t>d</w:t>
      </w:r>
      <w:r w:rsidR="00B23777">
        <w:t xml:space="preserve"> consumption and investment </w:t>
      </w:r>
    </w:p>
    <w:p w14:paraId="56974C0F" w14:textId="17836A6B" w:rsidR="00B23777" w:rsidRDefault="00B23777" w:rsidP="00B23777">
      <w:pPr>
        <w:pStyle w:val="ListParagraph"/>
        <w:numPr>
          <w:ilvl w:val="0"/>
          <w:numId w:val="1"/>
        </w:numPr>
      </w:pPr>
      <w:r>
        <w:t xml:space="preserve">Uncertainty about the duration, magnitude and </w:t>
      </w:r>
      <w:r w:rsidR="00390700">
        <w:t xml:space="preserve">impact of the pandemic could pose a </w:t>
      </w:r>
      <w:r w:rsidR="00390700" w:rsidRPr="00390700">
        <w:t>vicious cycle of dampening business and consumer confidence and tightening financial conditions, which could lead to job losses</w:t>
      </w:r>
      <w:r w:rsidR="00534754">
        <w:t>.</w:t>
      </w:r>
    </w:p>
    <w:p w14:paraId="27965833" w14:textId="390BFC01" w:rsidR="00550EDB" w:rsidRDefault="00550EDB" w:rsidP="00550EDB">
      <w:pPr>
        <w:pStyle w:val="Heading2"/>
      </w:pPr>
      <w:r>
        <w:t xml:space="preserve">Challenges and other papers </w:t>
      </w:r>
    </w:p>
    <w:p w14:paraId="1BCF749A" w14:textId="34D43C48" w:rsidR="00550EDB" w:rsidRDefault="005D3DCA" w:rsidP="00550EDB">
      <w:pPr>
        <w:pStyle w:val="ListParagraph"/>
        <w:numPr>
          <w:ilvl w:val="0"/>
          <w:numId w:val="1"/>
        </w:numPr>
      </w:pPr>
      <w:r>
        <w:t xml:space="preserve">How to identify </w:t>
      </w:r>
      <w:r w:rsidR="003510F3">
        <w:t>this unprecedented shock</w:t>
      </w:r>
      <w:r w:rsidR="00062F4B">
        <w:t>, how to account for its non-linear effects</w:t>
      </w:r>
      <w:r w:rsidR="00416AB2">
        <w:t xml:space="preserve">, how to consider its cross-country spill-overs, how to quantify the uncertainty surrounding forecasts. </w:t>
      </w:r>
    </w:p>
    <w:p w14:paraId="4D195CF7" w14:textId="271C4811" w:rsidR="00416AB2" w:rsidRDefault="00416AB2" w:rsidP="00550EDB">
      <w:pPr>
        <w:pStyle w:val="ListParagraph"/>
        <w:numPr>
          <w:ilvl w:val="0"/>
          <w:numId w:val="1"/>
        </w:numPr>
      </w:pPr>
      <w:r>
        <w:t xml:space="preserve">Research exploring </w:t>
      </w:r>
      <w:r w:rsidR="0057092C">
        <w:t xml:space="preserve">heterogenous, non-linear macroeconomic effects </w:t>
      </w:r>
      <w:r w:rsidR="00ED768B">
        <w:t xml:space="preserve">across countries, sectors in individual </w:t>
      </w:r>
      <w:r w:rsidR="00194B9A">
        <w:t xml:space="preserve">countries. </w:t>
      </w:r>
    </w:p>
    <w:p w14:paraId="0305760B" w14:textId="6DF2AB41" w:rsidR="00E46D2A" w:rsidRDefault="002330E5" w:rsidP="00E46D2A">
      <w:pPr>
        <w:pStyle w:val="ListParagraph"/>
        <w:numPr>
          <w:ilvl w:val="1"/>
          <w:numId w:val="1"/>
        </w:numPr>
      </w:pPr>
      <w:r>
        <w:t xml:space="preserve">Pagano (2020) and Capelle-Blancard (2020) consider the effects on the US stock market </w:t>
      </w:r>
      <w:r w:rsidR="003D027C">
        <w:t xml:space="preserve">and highlight its differential impact on various sectors </w:t>
      </w:r>
      <w:r w:rsidR="00DE0AAE">
        <w:t xml:space="preserve">of the economy </w:t>
      </w:r>
    </w:p>
    <w:p w14:paraId="11A0C0F2" w14:textId="71EB8FB0" w:rsidR="006D3062" w:rsidRDefault="006D3062" w:rsidP="00E46D2A">
      <w:pPr>
        <w:pStyle w:val="ListParagraph"/>
        <w:numPr>
          <w:ilvl w:val="1"/>
          <w:numId w:val="1"/>
        </w:numPr>
      </w:pPr>
      <w:r w:rsidRPr="006D3062">
        <w:t>McKibbin and Fernando (2020) explore the global macroeconomic effects of alternative scenarios of how Covid-19 might evolve in the year ahead, highlighting the role of spill overs</w:t>
      </w:r>
    </w:p>
    <w:p w14:paraId="74F45203" w14:textId="0C37E592" w:rsidR="00F95221" w:rsidRDefault="00F95221" w:rsidP="00F95221">
      <w:pPr>
        <w:pStyle w:val="Heading2"/>
      </w:pPr>
      <w:r>
        <w:t xml:space="preserve">Multi-country model with threshold effects </w:t>
      </w:r>
    </w:p>
    <w:p w14:paraId="576ED46D" w14:textId="20CA149D" w:rsidR="00306240" w:rsidRDefault="00306240" w:rsidP="00306240">
      <w:pPr>
        <w:pStyle w:val="ListParagraph"/>
        <w:numPr>
          <w:ilvl w:val="0"/>
          <w:numId w:val="1"/>
        </w:numPr>
      </w:pPr>
      <w:r w:rsidRPr="00306240">
        <w:t>Chudik et al. 2020</w:t>
      </w:r>
      <w:r>
        <w:t xml:space="preserve"> develops a multi-country model augmented with global volatility threshold</w:t>
      </w:r>
      <w:r w:rsidR="00090A66">
        <w:t xml:space="preserve"> effects </w:t>
      </w:r>
    </w:p>
    <w:p w14:paraId="038587BB" w14:textId="51FCE1AF" w:rsidR="00613DFC" w:rsidRDefault="00613DFC" w:rsidP="00613DFC">
      <w:pPr>
        <w:pStyle w:val="Heading2"/>
      </w:pPr>
      <w:r>
        <w:t xml:space="preserve">Covid-19 impact on economic activity and long-term interest rates </w:t>
      </w:r>
    </w:p>
    <w:p w14:paraId="78FE4FA2" w14:textId="2CAEF263" w:rsidR="00613DFC" w:rsidRDefault="00D22191" w:rsidP="00613DFC">
      <w:pPr>
        <w:pStyle w:val="ListParagraph"/>
        <w:numPr>
          <w:ilvl w:val="0"/>
          <w:numId w:val="1"/>
        </w:numPr>
      </w:pPr>
      <w:r>
        <w:t xml:space="preserve">Excessive global volatility is bad for growth </w:t>
      </w:r>
      <w:r w:rsidR="00D80B16">
        <w:t>for several reasons</w:t>
      </w:r>
      <w:r w:rsidR="00C64B50">
        <w:t xml:space="preserve">, including </w:t>
      </w:r>
      <w:r w:rsidR="004407E1">
        <w:t xml:space="preserve">higher </w:t>
      </w:r>
      <w:r w:rsidR="00E23C25">
        <w:t>precautionary savings</w:t>
      </w:r>
      <w:r w:rsidR="004407E1">
        <w:t xml:space="preserve">, lower and delayed investment, </w:t>
      </w:r>
      <w:r w:rsidR="00FC5E79">
        <w:t>and a higher cost of raising capital (higher funding costs in a volatile environment)</w:t>
      </w:r>
      <w:r w:rsidR="001039DD">
        <w:t xml:space="preserve">. </w:t>
      </w:r>
    </w:p>
    <w:p w14:paraId="4E9599CE" w14:textId="036BEE84" w:rsidR="001039DD" w:rsidRDefault="001039DD" w:rsidP="00613DFC">
      <w:pPr>
        <w:pStyle w:val="ListParagraph"/>
        <w:numPr>
          <w:ilvl w:val="0"/>
          <w:numId w:val="1"/>
        </w:numPr>
      </w:pPr>
      <w:r>
        <w:t xml:space="preserve">This analysis establishes the importance of global </w:t>
      </w:r>
      <w:r w:rsidR="0023531E">
        <w:t>volatility</w:t>
      </w:r>
      <w:r w:rsidR="005F3A2A">
        <w:t>,</w:t>
      </w:r>
      <w:r w:rsidR="0023531E">
        <w:t xml:space="preserve"> whenever it exceeds a threshold level</w:t>
      </w:r>
      <w:r w:rsidR="005F3A2A">
        <w:t xml:space="preserve">, </w:t>
      </w:r>
      <w:r w:rsidR="000607EA">
        <w:t xml:space="preserve">for driving subsequent </w:t>
      </w:r>
      <w:r w:rsidR="004F35D6">
        <w:t xml:space="preserve">growth. </w:t>
      </w:r>
    </w:p>
    <w:p w14:paraId="5EA9FE77" w14:textId="7C273B7C" w:rsidR="000E4660" w:rsidRDefault="000E4660" w:rsidP="000E4660">
      <w:pPr>
        <w:pStyle w:val="ListParagraph"/>
        <w:numPr>
          <w:ilvl w:val="1"/>
          <w:numId w:val="1"/>
        </w:numPr>
      </w:pPr>
      <w:r>
        <w:t>Estimated threshold level is 0.156 per quarter for advanced economies and 0.129 for emerging markets. The 0.156 level has only been breached in 4 quarters 1979-2019</w:t>
      </w:r>
    </w:p>
    <w:p w14:paraId="4D884CB2" w14:textId="77777777" w:rsidR="002C2A48" w:rsidRDefault="000E4660" w:rsidP="000E4660">
      <w:pPr>
        <w:pStyle w:val="ListParagraph"/>
        <w:numPr>
          <w:ilvl w:val="1"/>
          <w:numId w:val="1"/>
        </w:numPr>
      </w:pPr>
      <w:r>
        <w:t xml:space="preserve">Threshold variable significant in 80% of advanced economies and </w:t>
      </w:r>
      <w:r w:rsidR="0081328D">
        <w:t xml:space="preserve">less than a third of emerging economies, but threshold effects are nevertheless negative in all advanced economies and all but 3 emerging markets. </w:t>
      </w:r>
    </w:p>
    <w:p w14:paraId="082206F3" w14:textId="261EE330" w:rsidR="000E4660" w:rsidRDefault="004966B7" w:rsidP="002C2A48">
      <w:pPr>
        <w:pStyle w:val="ListParagraph"/>
        <w:numPr>
          <w:ilvl w:val="0"/>
          <w:numId w:val="1"/>
        </w:numPr>
      </w:pPr>
      <w:r>
        <w:t>M</w:t>
      </w:r>
      <w:r w:rsidRPr="004966B7">
        <w:t xml:space="preserve">odel suggests that the pandemic will knock three percentage points off real world GDP </w:t>
      </w:r>
    </w:p>
    <w:p w14:paraId="6134D94E" w14:textId="77777777" w:rsidR="008C4C02" w:rsidRDefault="008C4C02" w:rsidP="008C4C02">
      <w:pPr>
        <w:pStyle w:val="ListParagraph"/>
        <w:numPr>
          <w:ilvl w:val="1"/>
          <w:numId w:val="1"/>
        </w:numPr>
      </w:pPr>
      <w:r w:rsidRPr="008C4C02">
        <w:t>The US and the UK are quite likely to experience deeper and longer-lasting effects</w:t>
      </w:r>
    </w:p>
    <w:p w14:paraId="09FE7B3D" w14:textId="41F8E955" w:rsidR="008C4C02" w:rsidRDefault="008C4C02" w:rsidP="008C4C02">
      <w:pPr>
        <w:pStyle w:val="ListParagraph"/>
        <w:numPr>
          <w:ilvl w:val="1"/>
          <w:numId w:val="1"/>
        </w:numPr>
      </w:pPr>
      <w:r w:rsidRPr="008C4C02">
        <w:t>China’s outcome has more than a 50% chance of being much better.</w:t>
      </w:r>
    </w:p>
    <w:p w14:paraId="051C3474" w14:textId="3719C801" w:rsidR="00DA26FF" w:rsidRDefault="00DA26FF" w:rsidP="00DA26FF">
      <w:pPr>
        <w:pStyle w:val="ListParagraph"/>
        <w:numPr>
          <w:ilvl w:val="0"/>
          <w:numId w:val="1"/>
        </w:numPr>
      </w:pPr>
      <w:r>
        <w:t xml:space="preserve">Pandemic will likely lower the long-term interest rates in advanced economies by </w:t>
      </w:r>
      <w:r w:rsidR="001515D2">
        <w:t>100 basis points because the crisis will raise precautionary savings and lower investment demand</w:t>
      </w:r>
    </w:p>
    <w:p w14:paraId="731AB204" w14:textId="188F2C25" w:rsidR="001515D2" w:rsidRDefault="001515D2" w:rsidP="001515D2">
      <w:pPr>
        <w:pStyle w:val="ListParagraph"/>
        <w:numPr>
          <w:ilvl w:val="1"/>
          <w:numId w:val="1"/>
        </w:numPr>
      </w:pPr>
      <w:r>
        <w:t xml:space="preserve">Interest rate projected to return to pre-covid levels </w:t>
      </w:r>
      <w:r w:rsidR="00FF6394">
        <w:t>after 6 quarters</w:t>
      </w:r>
    </w:p>
    <w:p w14:paraId="479D4ABA" w14:textId="3C3E19C9" w:rsidR="008675AB" w:rsidRDefault="008675AB" w:rsidP="008675AB"/>
    <w:p w14:paraId="35700E75" w14:textId="26E78190" w:rsidR="008675AB" w:rsidRDefault="008675AB" w:rsidP="008675AB"/>
    <w:p w14:paraId="1A6229BC" w14:textId="42E7E285" w:rsidR="008675AB" w:rsidRDefault="008675AB" w:rsidP="008675AB"/>
    <w:p w14:paraId="54E9DE42" w14:textId="2B0070EE" w:rsidR="008675AB" w:rsidRDefault="008675AB" w:rsidP="008675AB"/>
    <w:sectPr w:rsidR="00867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F3173F"/>
    <w:multiLevelType w:val="hybridMultilevel"/>
    <w:tmpl w:val="B6FC7A14"/>
    <w:lvl w:ilvl="0" w:tplc="B024E21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B23E89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DE1A4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D65"/>
    <w:rsid w:val="00002A47"/>
    <w:rsid w:val="000300D9"/>
    <w:rsid w:val="00032E74"/>
    <w:rsid w:val="000607EA"/>
    <w:rsid w:val="00062F4B"/>
    <w:rsid w:val="00090A66"/>
    <w:rsid w:val="000B1B4D"/>
    <w:rsid w:val="000E4660"/>
    <w:rsid w:val="001039DD"/>
    <w:rsid w:val="001515D2"/>
    <w:rsid w:val="00190BAB"/>
    <w:rsid w:val="00194B9A"/>
    <w:rsid w:val="002330E5"/>
    <w:rsid w:val="0023531E"/>
    <w:rsid w:val="002C2A48"/>
    <w:rsid w:val="00306240"/>
    <w:rsid w:val="003510F3"/>
    <w:rsid w:val="00372570"/>
    <w:rsid w:val="00390700"/>
    <w:rsid w:val="003B2C88"/>
    <w:rsid w:val="003D027C"/>
    <w:rsid w:val="00416AB2"/>
    <w:rsid w:val="0042009A"/>
    <w:rsid w:val="004407E1"/>
    <w:rsid w:val="00487DF5"/>
    <w:rsid w:val="004966B7"/>
    <w:rsid w:val="004C4A00"/>
    <w:rsid w:val="004D31F4"/>
    <w:rsid w:val="004D3895"/>
    <w:rsid w:val="004F35D6"/>
    <w:rsid w:val="004F5D32"/>
    <w:rsid w:val="00534754"/>
    <w:rsid w:val="00550EDB"/>
    <w:rsid w:val="0057092C"/>
    <w:rsid w:val="005D3DCA"/>
    <w:rsid w:val="005F3A2A"/>
    <w:rsid w:val="00613DFC"/>
    <w:rsid w:val="00623CD0"/>
    <w:rsid w:val="00656AEC"/>
    <w:rsid w:val="006B14C2"/>
    <w:rsid w:val="006D22B8"/>
    <w:rsid w:val="006D3062"/>
    <w:rsid w:val="00702818"/>
    <w:rsid w:val="00707C53"/>
    <w:rsid w:val="007200DD"/>
    <w:rsid w:val="007D02C6"/>
    <w:rsid w:val="0081328D"/>
    <w:rsid w:val="008675AB"/>
    <w:rsid w:val="008B40CB"/>
    <w:rsid w:val="008B6983"/>
    <w:rsid w:val="008C4C02"/>
    <w:rsid w:val="009608AC"/>
    <w:rsid w:val="00976AEA"/>
    <w:rsid w:val="009771D4"/>
    <w:rsid w:val="00AA33A3"/>
    <w:rsid w:val="00AF396C"/>
    <w:rsid w:val="00B23777"/>
    <w:rsid w:val="00B828EB"/>
    <w:rsid w:val="00BC607F"/>
    <w:rsid w:val="00C16E06"/>
    <w:rsid w:val="00C60DF4"/>
    <w:rsid w:val="00C62284"/>
    <w:rsid w:val="00C6321F"/>
    <w:rsid w:val="00C64B50"/>
    <w:rsid w:val="00C84940"/>
    <w:rsid w:val="00CA5A22"/>
    <w:rsid w:val="00D06EA5"/>
    <w:rsid w:val="00D22191"/>
    <w:rsid w:val="00D80B16"/>
    <w:rsid w:val="00DA26FF"/>
    <w:rsid w:val="00DE0AAE"/>
    <w:rsid w:val="00E04D2C"/>
    <w:rsid w:val="00E076F6"/>
    <w:rsid w:val="00E23C25"/>
    <w:rsid w:val="00E43A1B"/>
    <w:rsid w:val="00E46D2A"/>
    <w:rsid w:val="00EA2505"/>
    <w:rsid w:val="00ED768B"/>
    <w:rsid w:val="00EE7D65"/>
    <w:rsid w:val="00F928D7"/>
    <w:rsid w:val="00F95221"/>
    <w:rsid w:val="00FC5E79"/>
    <w:rsid w:val="00FE5791"/>
    <w:rsid w:val="00F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15D29"/>
  <w15:chartTrackingRefBased/>
  <w15:docId w15:val="{A92B4636-635B-4CE3-AC13-838D35810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D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8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E7D6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608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2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72</cp:revision>
  <dcterms:created xsi:type="dcterms:W3CDTF">2021-02-17T17:41:00Z</dcterms:created>
  <dcterms:modified xsi:type="dcterms:W3CDTF">2021-03-16T18:00:00Z</dcterms:modified>
</cp:coreProperties>
</file>