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531AC4" w14:textId="77777777" w:rsidR="00EE20D8" w:rsidRDefault="00EE20D8" w:rsidP="00C65A59">
      <w:pPr>
        <w:jc w:val="both"/>
      </w:pPr>
      <w:r>
        <w:t>This report will explain how the hybrid hotel segment of the hospitality industry can navigate the disruption of Covid-19 to emerge in a stronger position than traditional hotel models and disrupters like Airbnb. To remain as relevant as possible, this report will make loose assumptions of a slow, gradual “unlocking” of economies and a long-lasting focus on hygiene.</w:t>
      </w:r>
    </w:p>
    <w:p w14:paraId="39EC3EED" w14:textId="18B6A2F9" w:rsidR="00E64038" w:rsidRDefault="00C65A59" w:rsidP="00C65A59">
      <w:pPr>
        <w:jc w:val="both"/>
      </w:pPr>
      <w:r>
        <w:t>E</w:t>
      </w:r>
      <w:r w:rsidR="00EE20D8">
        <w:t xml:space="preserve">xamining the impact </w:t>
      </w:r>
      <w:r>
        <w:t>of the pandemic</w:t>
      </w:r>
      <w:r w:rsidR="00EE20D8">
        <w:t xml:space="preserve"> on the hospitality industry, and how the innovative responses of hotels hint at how hybrids can capitalise on the changing market conditions, will ground my analys</w:t>
      </w:r>
      <w:r>
        <w:t>e</w:t>
      </w:r>
      <w:r w:rsidR="00EE20D8">
        <w:t>s in context. Then the report will explore the shifting consumer trends accelerated by the pandemic, and how hybrids can meet these needs more effectively than incumbents such as Airbnb and traditional hotels, by creating unique value curve</w:t>
      </w:r>
      <w:r>
        <w:t>s</w:t>
      </w:r>
      <w:r w:rsidR="00EE20D8">
        <w:t xml:space="preserve">. </w:t>
      </w:r>
      <w:r>
        <w:t xml:space="preserve">A careful consideration of the short-term and strategic challenges hybrids must overcome, both Covid-related and unrelated, will then caveat the report’s main conclusion that hybrids are well-positioned to become a strong growth segment in the industry. </w:t>
      </w:r>
    </w:p>
    <w:sectPr w:rsidR="00E64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0D8"/>
    <w:rsid w:val="006D22B8"/>
    <w:rsid w:val="00707C53"/>
    <w:rsid w:val="00C16E06"/>
    <w:rsid w:val="00C62284"/>
    <w:rsid w:val="00C65A59"/>
    <w:rsid w:val="00EE20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2D3C"/>
  <w15:chartTrackingRefBased/>
  <w15:docId w15:val="{E8A540BF-E372-43A2-B04A-815044C1B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0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2021-03-12T13:31:00Z</dcterms:created>
  <dcterms:modified xsi:type="dcterms:W3CDTF">2021-03-12T13:51:00Z</dcterms:modified>
</cp:coreProperties>
</file>