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5C0536" w14:textId="0173BAE7" w:rsidR="00E64038" w:rsidRDefault="00F84E05">
      <w:r>
        <w:t xml:space="preserve">Finance lecture 3 – </w:t>
      </w:r>
    </w:p>
    <w:p w14:paraId="4FD5CDD0" w14:textId="0B4A4E10" w:rsidR="00F84E05" w:rsidRDefault="00F84E05">
      <w:r>
        <w:t xml:space="preserve">Up until </w:t>
      </w:r>
      <w:proofErr w:type="gramStart"/>
      <w:r>
        <w:t>we’ve</w:t>
      </w:r>
      <w:proofErr w:type="gramEnd"/>
      <w:r>
        <w:t xml:space="preserve"> had yearly cashflows (dividends or coupons). Now we </w:t>
      </w:r>
      <w:proofErr w:type="gramStart"/>
      <w:r>
        <w:t>don’t</w:t>
      </w:r>
      <w:proofErr w:type="gramEnd"/>
      <w:r>
        <w:t xml:space="preserve"> have numerator for cashflow because it’s a project. </w:t>
      </w:r>
    </w:p>
    <w:p w14:paraId="3CA183E5" w14:textId="1C717368" w:rsidR="00BC0445" w:rsidRDefault="00BC0445">
      <w:r>
        <w:t>Risk and return in the textbook for extra reading. Well be provided with appropriate denominator (discount rate), so just focus on numerator which is cash flows. Positive NPV means accounting for time value of money and risk, the project adds value to the company</w:t>
      </w:r>
    </w:p>
    <w:p w14:paraId="327034F7" w14:textId="57F7825C" w:rsidR="00BC0445" w:rsidRDefault="00BC0445">
      <w:r>
        <w:t xml:space="preserve">Finding depreciation value to add back on. Accounts for the use of the asset. Different ways of depreciating (front-loading depreciation expense can lead to tax savings). </w:t>
      </w:r>
    </w:p>
    <w:p w14:paraId="4D50F7A3" w14:textId="6BAAF62B" w:rsidR="00BC0445" w:rsidRDefault="00BC0445">
      <w:r>
        <w:t xml:space="preserve">Q3.8 – tax credit from depreciation. </w:t>
      </w:r>
      <w:r w:rsidR="00F45652">
        <w:t>Adding back a depreciation tax shield</w:t>
      </w:r>
    </w:p>
    <w:p w14:paraId="18B2CCFB" w14:textId="1DC69CEE" w:rsidR="00F45652" w:rsidRDefault="00F45652">
      <w:r>
        <w:t>EBIT then adjust to NOPAK (assuming no debt)</w:t>
      </w:r>
    </w:p>
    <w:p w14:paraId="677F1D1E" w14:textId="691D4AC6" w:rsidR="00F45652" w:rsidRDefault="00F45652">
      <w:r>
        <w:t>Is free cashflow unlevered? All equity funded</w:t>
      </w:r>
    </w:p>
    <w:sectPr w:rsidR="00F456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E05"/>
    <w:rsid w:val="00695D5D"/>
    <w:rsid w:val="006D22B8"/>
    <w:rsid w:val="00707C53"/>
    <w:rsid w:val="00BC0445"/>
    <w:rsid w:val="00C16E06"/>
    <w:rsid w:val="00C62284"/>
    <w:rsid w:val="00F45652"/>
    <w:rsid w:val="00F84E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ABD7E"/>
  <w15:chartTrackingRefBased/>
  <w15:docId w15:val="{16975C05-ABB4-46B1-A455-9A97C734A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95D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5D5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1689</TotalTime>
  <Pages>1</Pages>
  <Words>111</Words>
  <Characters>638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2020-11-23T15:30:00Z</dcterms:created>
  <dcterms:modified xsi:type="dcterms:W3CDTF">2020-11-25T21:52:00Z</dcterms:modified>
</cp:coreProperties>
</file>