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EB04" w14:textId="47269DF5" w:rsidR="00E72AE6" w:rsidRPr="00E72AE6" w:rsidRDefault="00E72AE6" w:rsidP="00E72AE6">
      <w:pPr>
        <w:rPr>
          <w:u w:val="single"/>
        </w:rPr>
      </w:pPr>
      <w:r w:rsidRPr="00E72AE6">
        <w:rPr>
          <w:u w:val="single"/>
        </w:rPr>
        <w:t>1. Briefly discuss whether Mercury is an appropriate target for Active Gear (AGI)? Why or why not? </w:t>
      </w:r>
    </w:p>
    <w:p w14:paraId="33EEDDC2" w14:textId="77777777" w:rsidR="00E72AE6" w:rsidRPr="00E72AE6" w:rsidRDefault="00E72AE6" w:rsidP="00E72AE6">
      <w:r w:rsidRPr="00E72AE6">
        <w:t xml:space="preserve">Mercury is not an ideal strategic target for Active Gear (AGI). At a fundamental level, the two brands serve very different customers and rely on different sources of competitive advantage. AGI is an upscale casual and athletic footwear brand oriented </w:t>
      </w:r>
      <w:proofErr w:type="gramStart"/>
      <w:r w:rsidRPr="00E72AE6">
        <w:t>toward</w:t>
      </w:r>
      <w:proofErr w:type="gramEnd"/>
      <w:r w:rsidRPr="00E72AE6">
        <w:t xml:space="preserve"> a middle-aged, affluent suburban demographic, with core products tied to golf, tennis, and classic athletic fashion. In contrast, Mercury’s core customer base is younger roughly ages 15–25 and deeply embedded in youth and extreme sports subcultures such as skateboarding, BMX, and snowboarding. Mercury’s success depends on rapidly evolving fashion trends, cultural relevance, and credibility within these community areas where AGI has little demonstrated expertise. As a result, AGI would likely struggle to anticipate Mercury’s trends or authentically manage its brand, while existing AGI customers would have little interest in Mercury products and vice </w:t>
      </w:r>
      <w:proofErr w:type="gramStart"/>
      <w:r w:rsidRPr="00E72AE6">
        <w:t>versa .</w:t>
      </w:r>
      <w:proofErr w:type="gramEnd"/>
    </w:p>
    <w:p w14:paraId="6DBE2521" w14:textId="77777777" w:rsidR="00E72AE6" w:rsidRPr="00E72AE6" w:rsidRDefault="00E72AE6" w:rsidP="00E72AE6">
      <w:r w:rsidRPr="00E72AE6">
        <w:t xml:space="preserve">That said, the acquisition would offer some tangible benefits. Most notably, acquiring Mercury would nearly double AGI’s revenue from roughly $470 million per year to over $900 million. This would materially </w:t>
      </w:r>
      <w:proofErr w:type="gramStart"/>
      <w:r w:rsidRPr="00E72AE6">
        <w:t>increasing</w:t>
      </w:r>
      <w:proofErr w:type="gramEnd"/>
      <w:r w:rsidRPr="00E72AE6">
        <w:t xml:space="preserve"> its scale in an industry where size is becoming increasingly important. A greater scale would strengthen AGI’s negotiating leverage with Asian contract manufacturers at a time when consolidation among suppliers is favoring larger buyers. In addition, Mercury’s broad distribution footprint, particularly its relationships with large retailers, could improve AGI’s access to key channels and partially mitigate AGI’s growth constraints caused by its refusal to sell through discount retailers. Operationally, AGI’s more disciplined inventory management system could be applied to Mercury, which currently exhibits significantly </w:t>
      </w:r>
      <w:proofErr w:type="gramStart"/>
      <w:r w:rsidRPr="00E72AE6">
        <w:t>higher days</w:t>
      </w:r>
      <w:proofErr w:type="gramEnd"/>
      <w:r w:rsidRPr="00E72AE6">
        <w:t xml:space="preserve"> sales in inventory, potentially improving working capital efficiency and margins.</w:t>
      </w:r>
    </w:p>
    <w:p w14:paraId="32A35208" w14:textId="77777777" w:rsidR="00E72AE6" w:rsidRPr="00E72AE6" w:rsidRDefault="00E72AE6" w:rsidP="00E72AE6">
      <w:r w:rsidRPr="00E72AE6">
        <w:t>However, these benefits are largely financial and operational, not strategic. They do not resolve the core issue that Mercury’s brand, customer base, and product lifecycle dynamics differ sharply from AGI’s. Without meaningful brand or customer overlap, synergies on the revenue side are limited, and there is a real risk that AGI could destroy value by mismanaging Mercury’s brand or diluting its cultural relevance. As a result, while Mercury may be attractive from a size and valuation perspective, it is a weak strategic fit for AGI unless AGI is deliberately seeking to diversify into the youth athletic segment and is willing to operate Mercury as a largely standalone business.</w:t>
      </w:r>
    </w:p>
    <w:p w14:paraId="3E8EDE3D" w14:textId="77777777" w:rsidR="00E72AE6" w:rsidRPr="00E72AE6" w:rsidRDefault="00E72AE6" w:rsidP="00E72AE6"/>
    <w:p w14:paraId="09F0A221" w14:textId="77777777" w:rsidR="00E72AE6" w:rsidRPr="00E72AE6" w:rsidRDefault="00E72AE6" w:rsidP="00E72AE6"/>
    <w:p w14:paraId="63F8F99B" w14:textId="358B96D8" w:rsidR="00E72AE6" w:rsidRPr="00E72AE6" w:rsidRDefault="00E72AE6" w:rsidP="00E72AE6">
      <w:pPr>
        <w:rPr>
          <w:u w:val="single"/>
        </w:rPr>
      </w:pPr>
      <w:r w:rsidRPr="00E72AE6">
        <w:rPr>
          <w:u w:val="single"/>
        </w:rPr>
        <w:lastRenderedPageBreak/>
        <w:t>2. Under the baseline assumptions and set of comps provided, what is the enterprise value of Mercury Athletic? </w:t>
      </w:r>
    </w:p>
    <w:p w14:paraId="6A112A78" w14:textId="2882D3ED" w:rsidR="00E72AE6" w:rsidRPr="00E72AE6" w:rsidRDefault="00E72AE6" w:rsidP="00E72AE6">
      <w:r w:rsidRPr="00E72AE6">
        <w:rPr>
          <w:b/>
          <w:bCs/>
        </w:rPr>
        <w:t>The enterprise value of Mercury Athletic is $244,658,000. All working shown in Exhibit 3 tab.</w:t>
      </w:r>
    </w:p>
    <w:p w14:paraId="588C4862" w14:textId="6952CCAC" w:rsidR="00E72AE6" w:rsidRPr="00E72AE6" w:rsidRDefault="00E72AE6" w:rsidP="00E72AE6">
      <w:r w:rsidRPr="00E72AE6">
        <w:t>To obtain this, we first calculated the simple average of the unlevered betas of all comps. This was 1.32.</w:t>
      </w:r>
    </w:p>
    <w:p w14:paraId="5BAF777A" w14:textId="053F52A9" w:rsidR="00E72AE6" w:rsidRPr="00E72AE6" w:rsidRDefault="00E72AE6" w:rsidP="00E72AE6">
      <w:r w:rsidRPr="00E72AE6">
        <w:t xml:space="preserve">Next, we calculated Mercury’s pre-tax WACC by multiplying this unlevered beta by the market risk premium and adding the </w:t>
      </w:r>
      <w:proofErr w:type="gramStart"/>
      <w:r w:rsidRPr="00E72AE6">
        <w:t>risk free</w:t>
      </w:r>
      <w:proofErr w:type="gramEnd"/>
      <w:r w:rsidRPr="00E72AE6">
        <w:t xml:space="preserve"> rate, which we took as 4.91% based on </w:t>
      </w:r>
      <w:proofErr w:type="gramStart"/>
      <w:r w:rsidRPr="00E72AE6">
        <w:t>30y</w:t>
      </w:r>
      <w:proofErr w:type="gramEnd"/>
      <w:r w:rsidRPr="00E72AE6">
        <w:t xml:space="preserve"> yields in 2006. This pre-tax WACC was 11.52%</w:t>
      </w:r>
    </w:p>
    <w:p w14:paraId="67FEDDAE" w14:textId="6EF9EE7E" w:rsidR="00E72AE6" w:rsidRPr="00E72AE6" w:rsidRDefault="00E72AE6" w:rsidP="00E72AE6">
      <w:r w:rsidRPr="00E72AE6">
        <w:t>After this, we calculated Mercury’s post-tax WACC as 11.04%, after accounting for the debt interest shield. We obtained this by starting from the pre-tax WACC and subtracting the product of Mercury’s target leverage of 20%, marginal tax rate of 40% and debt interest rate of 6%.</w:t>
      </w:r>
    </w:p>
    <w:p w14:paraId="777F2A86" w14:textId="3E090516" w:rsidR="00E72AE6" w:rsidRPr="00E72AE6" w:rsidRDefault="00E72AE6" w:rsidP="00E72AE6">
      <w:r w:rsidRPr="00E72AE6">
        <w:t xml:space="preserve">Next, we calculated Mercury’s FCF by multiplying its 2007 </w:t>
      </w:r>
      <w:proofErr w:type="gramStart"/>
      <w:r w:rsidRPr="00E72AE6">
        <w:t>forecasted</w:t>
      </w:r>
      <w:proofErr w:type="gramEnd"/>
      <w:r w:rsidRPr="00E72AE6">
        <w:t xml:space="preserve"> consolidated operating income by (1 - T), before adding back depreciation then subtracting </w:t>
      </w:r>
      <w:proofErr w:type="spellStart"/>
      <w:r w:rsidRPr="00E72AE6">
        <w:t>CapEx</w:t>
      </w:r>
      <w:proofErr w:type="spellEnd"/>
      <w:r w:rsidRPr="00E72AE6">
        <w:t xml:space="preserve"> and changes in net working capital. This gave us an FCF of $27,010,000.</w:t>
      </w:r>
    </w:p>
    <w:p w14:paraId="679DC986" w14:textId="7B14FC99" w:rsidR="00E72AE6" w:rsidRPr="00E72AE6" w:rsidRDefault="00E72AE6" w:rsidP="00E72AE6">
      <w:r w:rsidRPr="00E72AE6">
        <w:t>Finally, we used Gordon Growth perpetuity calculation of FCF / r - g to calculate an enterprise value of $244,658,000.</w:t>
      </w:r>
    </w:p>
    <w:p w14:paraId="09F27553" w14:textId="77777777" w:rsidR="00E72AE6" w:rsidRDefault="00E72AE6" w:rsidP="00E72AE6"/>
    <w:p w14:paraId="299BDC84" w14:textId="709E74C4" w:rsidR="00E72AE6" w:rsidRPr="00E72AE6" w:rsidRDefault="00E72AE6" w:rsidP="00E72AE6">
      <w:pPr>
        <w:rPr>
          <w:u w:val="single"/>
        </w:rPr>
      </w:pPr>
      <w:r w:rsidRPr="00E72AE6">
        <w:rPr>
          <w:u w:val="single"/>
        </w:rPr>
        <w:t>3. Do Mr. Liedtke’s baseline assumptions and set of comps appear reasonable. Discuss why or why not? </w:t>
      </w:r>
    </w:p>
    <w:p w14:paraId="5B677271" w14:textId="77777777" w:rsidR="00E72AE6" w:rsidRPr="00E72AE6" w:rsidRDefault="00E72AE6" w:rsidP="00E72AE6">
      <w:r w:rsidRPr="00E72AE6">
        <w:t>Mr. Liedtke’s baseline assumptions are directionally appropriate as a starting point for valuation, but the selection of comparable companies is imperfect, leading to a calculated risk factor (WACC) that is subject to serious review.</w:t>
      </w:r>
    </w:p>
    <w:p w14:paraId="2A9E45A0" w14:textId="77777777" w:rsidR="00E72AE6" w:rsidRPr="00E72AE6" w:rsidRDefault="00E72AE6" w:rsidP="00E72AE6">
      <w:r w:rsidRPr="00E72AE6">
        <w:t>The foundational market inputs are sound. The risk-free rate of 4.91% and the market risk premium of 5.0% are standard and defensible figures in a DCF model. Similarly, the long-term growth rate of 3.0% is a conventional assumption for a stable, mature industry like footwear.</w:t>
      </w:r>
    </w:p>
    <w:p w14:paraId="14E1C62C" w14:textId="77777777" w:rsidR="00E72AE6" w:rsidRPr="00E72AE6" w:rsidRDefault="00E72AE6" w:rsidP="00E72AE6">
      <w:r w:rsidRPr="00E72AE6">
        <w:t>The critical issue lies in the estimation of systematic risk, which is derived from the comparable companies (comps). The high average unlevered beta of 1.32 resulting from this set is what drives the final WACC up to 11.04%. We must examine whether this calculated risk accurately reflects Mercury’s business.</w:t>
      </w:r>
    </w:p>
    <w:p w14:paraId="347C3E8E" w14:textId="77777777" w:rsidR="00E72AE6" w:rsidRPr="00E72AE6" w:rsidRDefault="00E72AE6" w:rsidP="00E72AE6">
      <w:r w:rsidRPr="00E72AE6">
        <w:lastRenderedPageBreak/>
        <w:t>The composition of the comp set presents several challenges:</w:t>
      </w:r>
    </w:p>
    <w:p w14:paraId="1D78ACBF" w14:textId="77777777" w:rsidR="00E72AE6" w:rsidRPr="00E72AE6" w:rsidRDefault="00E72AE6" w:rsidP="00E72AE6">
      <w:r w:rsidRPr="00E72AE6">
        <w:t xml:space="preserve">First, Victory Athletic is a massive outlier. Its market value at $35 billion is significantly larger than the other comparables. Including a firm of this immense scale and diversification can skew the analysis, and it should be evaluated for potential exclusion. Furthermore, other firms like Seam and Wilderness </w:t>
      </w:r>
      <w:proofErr w:type="gramStart"/>
      <w:r w:rsidRPr="00E72AE6">
        <w:t>are showing</w:t>
      </w:r>
      <w:proofErr w:type="gramEnd"/>
      <w:r w:rsidRPr="00E72AE6">
        <w:t xml:space="preserve"> negative performance metrics. Their inclusion artificially inflates the average volatility of the comp set, meaning Mercury may be inheriting firm-specific risks rather than just industry-wide systemic risk.</w:t>
      </w:r>
    </w:p>
    <w:p w14:paraId="3987E917" w14:textId="77777777" w:rsidR="00E72AE6" w:rsidRPr="00E72AE6" w:rsidRDefault="00E72AE6" w:rsidP="00E72AE6">
      <w:r w:rsidRPr="00E72AE6">
        <w:t>Second, the Mercury comparison itself presents inherent challenges because it is a private company that targets a highly niche market, specifically the 15 to 25-year-olds in the extreme sports/skateboarding sector. This narrow focus and lack of public information give Mercury a higher risk profile compared to its diversified public comparables. The comps are useful for providing a general industry benchmark, but they are imperfect because Mercury carries an additional risk premium due to its private and niche nature.</w:t>
      </w:r>
    </w:p>
    <w:p w14:paraId="2E05D8B2" w14:textId="77777777" w:rsidR="00E72AE6" w:rsidRPr="00E72AE6" w:rsidRDefault="00E72AE6" w:rsidP="00E72AE6">
      <w:r w:rsidRPr="00E72AE6">
        <w:t>In conclusion, the valuation differences reflect measurable risk factors, but the WACC of 11.04% is currently under review for appropriateness. The choice of comps, containing massive outliers and poorly performing firms, suggests that this high WACC may be overstating Mercury’s true cost of capital.</w:t>
      </w:r>
    </w:p>
    <w:p w14:paraId="3156E720" w14:textId="77777777" w:rsidR="00E72AE6" w:rsidRPr="00E72AE6" w:rsidRDefault="00E72AE6" w:rsidP="00E72AE6"/>
    <w:p w14:paraId="4E758F46" w14:textId="3F97B13F" w:rsidR="00E72AE6" w:rsidRPr="00E72AE6" w:rsidRDefault="00E72AE6" w:rsidP="00E72AE6">
      <w:pPr>
        <w:rPr>
          <w:u w:val="single"/>
        </w:rPr>
      </w:pPr>
      <w:r w:rsidRPr="00E72AE6">
        <w:rPr>
          <w:u w:val="single"/>
        </w:rPr>
        <w:t xml:space="preserve">4. One of the potential synergies Mr. Liedtke identifies is a reduction in Mercury </w:t>
      </w:r>
      <w:proofErr w:type="spellStart"/>
      <w:r w:rsidRPr="00E72AE6">
        <w:rPr>
          <w:u w:val="single"/>
        </w:rPr>
        <w:t>Athletic’s</w:t>
      </w:r>
      <w:proofErr w:type="spellEnd"/>
      <w:r w:rsidRPr="00E72AE6">
        <w:rPr>
          <w:u w:val="single"/>
        </w:rPr>
        <w:t xml:space="preserve"> Days Sales in Inventory (DSI) to the level of Active Gear. How does incorporating this synergy impact the enterprise value. Is this synergy reasonable? </w:t>
      </w:r>
    </w:p>
    <w:p w14:paraId="0F063CEF" w14:textId="77777777" w:rsidR="00E72AE6" w:rsidRPr="00E72AE6" w:rsidRDefault="00E72AE6" w:rsidP="00E72AE6">
      <w:r w:rsidRPr="00E72AE6">
        <w:t xml:space="preserve">Incorporating the DSI synergy would increase Mercury’s enterprise value, assuming that the synergy is able to </w:t>
      </w:r>
      <w:proofErr w:type="gramStart"/>
      <w:r w:rsidRPr="00E72AE6">
        <w:t>actually reduce</w:t>
      </w:r>
      <w:proofErr w:type="gramEnd"/>
      <w:r w:rsidRPr="00E72AE6">
        <w:t xml:space="preserve"> DSI. Reducing Days Sales in Inventory lowers the amount of capital tied up in working capital, which reduces net operating assets and increases free cash flow in the near term. Because enterprise value reflects the present value of future free cash flows, freeing up inventory capital creates an immediate cash inflow and improves ongoing cash generation, which mechanically raises valuation.</w:t>
      </w:r>
    </w:p>
    <w:p w14:paraId="7D5C61C1" w14:textId="77777777" w:rsidR="00E72AE6" w:rsidRPr="00E72AE6" w:rsidRDefault="00E72AE6" w:rsidP="00E72AE6">
      <w:r w:rsidRPr="00E72AE6">
        <w:t xml:space="preserve">However, while the impact on enterprise value is positive, the assumption itself is not entirely reasonable. Days Sales in Inventory </w:t>
      </w:r>
      <w:proofErr w:type="gramStart"/>
      <w:r w:rsidRPr="00E72AE6">
        <w:t>depends</w:t>
      </w:r>
      <w:proofErr w:type="gramEnd"/>
      <w:r w:rsidRPr="00E72AE6">
        <w:t xml:space="preserve"> on much more than the quality of a firm’s inventory management system. It is heavily influenced by demand volatility, product lifecycles, and exposure to fashion and cultural trends. Mercury operates in a youth and trend driven segment with short product lifecycles and greater demand uncertainty, which naturally leads to higher inventory levels and more frequent write downs than Active Gear’s more stable, classic product lines.</w:t>
      </w:r>
    </w:p>
    <w:p w14:paraId="5C1F2D83" w14:textId="77777777" w:rsidR="00E72AE6" w:rsidRPr="00E72AE6" w:rsidRDefault="00E72AE6" w:rsidP="00E72AE6">
      <w:r w:rsidRPr="00E72AE6">
        <w:lastRenderedPageBreak/>
        <w:t xml:space="preserve">Even if Active Gear’s inventory management system is superior, there is no clear evidence that it can be transferred directly into Mercury’s operating environment. Active Gear’s lower DSI appears to reflect a fundamentally different business model with fewer SKUs, longer product lives, and more predictable demand, rather than simply better execution. Assuming Mercury’s DSI can be reduced all the way to Active Gear’s level effectively assumes away these structural differences. As a result, while some improvement in inventory efficiency may be achievable, assuming full convergence </w:t>
      </w:r>
      <w:proofErr w:type="gramStart"/>
      <w:r w:rsidRPr="00E72AE6">
        <w:t>likely overstates</w:t>
      </w:r>
      <w:proofErr w:type="gramEnd"/>
      <w:r w:rsidRPr="00E72AE6">
        <w:t xml:space="preserve"> the synergy and overstates enterprise value.</w:t>
      </w:r>
    </w:p>
    <w:p w14:paraId="7298534E" w14:textId="77777777" w:rsidR="0002698E" w:rsidRDefault="0002698E"/>
    <w:sectPr w:rsidR="0002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AE6"/>
    <w:rsid w:val="0002698E"/>
    <w:rsid w:val="00193267"/>
    <w:rsid w:val="00475C13"/>
    <w:rsid w:val="00E7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0CC9"/>
  <w15:chartTrackingRefBased/>
  <w15:docId w15:val="{4673464F-FAD2-4506-8BFD-C2A24C78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AE6"/>
    <w:rPr>
      <w:rFonts w:eastAsiaTheme="majorEastAsia" w:cstheme="majorBidi"/>
      <w:color w:val="272727" w:themeColor="text1" w:themeTint="D8"/>
    </w:rPr>
  </w:style>
  <w:style w:type="paragraph" w:styleId="Title">
    <w:name w:val="Title"/>
    <w:basedOn w:val="Normal"/>
    <w:next w:val="Normal"/>
    <w:link w:val="TitleChar"/>
    <w:uiPriority w:val="10"/>
    <w:qFormat/>
    <w:rsid w:val="00E72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AE6"/>
    <w:pPr>
      <w:spacing w:before="160"/>
      <w:jc w:val="center"/>
    </w:pPr>
    <w:rPr>
      <w:i/>
      <w:iCs/>
      <w:color w:val="404040" w:themeColor="text1" w:themeTint="BF"/>
    </w:rPr>
  </w:style>
  <w:style w:type="character" w:customStyle="1" w:styleId="QuoteChar">
    <w:name w:val="Quote Char"/>
    <w:basedOn w:val="DefaultParagraphFont"/>
    <w:link w:val="Quote"/>
    <w:uiPriority w:val="29"/>
    <w:rsid w:val="00E72AE6"/>
    <w:rPr>
      <w:i/>
      <w:iCs/>
      <w:color w:val="404040" w:themeColor="text1" w:themeTint="BF"/>
    </w:rPr>
  </w:style>
  <w:style w:type="paragraph" w:styleId="ListParagraph">
    <w:name w:val="List Paragraph"/>
    <w:basedOn w:val="Normal"/>
    <w:uiPriority w:val="34"/>
    <w:qFormat/>
    <w:rsid w:val="00E72AE6"/>
    <w:pPr>
      <w:ind w:left="720"/>
      <w:contextualSpacing/>
    </w:pPr>
  </w:style>
  <w:style w:type="character" w:styleId="IntenseEmphasis">
    <w:name w:val="Intense Emphasis"/>
    <w:basedOn w:val="DefaultParagraphFont"/>
    <w:uiPriority w:val="21"/>
    <w:qFormat/>
    <w:rsid w:val="00E72AE6"/>
    <w:rPr>
      <w:i/>
      <w:iCs/>
      <w:color w:val="0F4761" w:themeColor="accent1" w:themeShade="BF"/>
    </w:rPr>
  </w:style>
  <w:style w:type="paragraph" w:styleId="IntenseQuote">
    <w:name w:val="Intense Quote"/>
    <w:basedOn w:val="Normal"/>
    <w:next w:val="Normal"/>
    <w:link w:val="IntenseQuoteChar"/>
    <w:uiPriority w:val="30"/>
    <w:qFormat/>
    <w:rsid w:val="00E72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AE6"/>
    <w:rPr>
      <w:i/>
      <w:iCs/>
      <w:color w:val="0F4761" w:themeColor="accent1" w:themeShade="BF"/>
    </w:rPr>
  </w:style>
  <w:style w:type="character" w:styleId="IntenseReference">
    <w:name w:val="Intense Reference"/>
    <w:basedOn w:val="DefaultParagraphFont"/>
    <w:uiPriority w:val="32"/>
    <w:qFormat/>
    <w:rsid w:val="00E72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1216</Words>
  <Characters>6936</Characters>
  <Application>Microsoft Office Word</Application>
  <DocSecurity>0</DocSecurity>
  <Lines>57</Lines>
  <Paragraphs>16</Paragraphs>
  <ScaleCrop>false</ScaleCrop>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2025-12-13T01:39:00Z</dcterms:created>
  <dcterms:modified xsi:type="dcterms:W3CDTF">2025-12-13T01:40:00Z</dcterms:modified>
</cp:coreProperties>
</file>