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FC630" w14:textId="7700025C" w:rsidR="00D93483" w:rsidRPr="00D93483" w:rsidRDefault="00D93483" w:rsidP="00D93483">
      <w:r w:rsidRPr="00D93483">
        <w:t>Starting my post-MBA career as a management consultant at Bain's San Francisco office, I expect the Gartner Hype Cycle and S-Curve frameworks to be directly relevant to my day-to-day work. Given Bain SF's local staffing model, a significant portion of my clients will likely be Bay Area tech companies — and what strikes me about tech relative to other industries is how the early and middle stages of the S-Curve feel almost permanently in play. Unlike, say, consumer packaged goods, where much of the strategic work might center on mature, stable product categories, tech companies are constantly launching new products, entering new markets, or responding to the next wave of disruption. That means questions like "where are we on the curve, and what should our competitive priorities be right now?" are live questions, not theoretical ones. An AI company figuring out whether it's still in the fluid phase — where R&amp;D should stay open and experimentation is the priority — versus one entering the transitional phase where focus, pricing strategy and scaling become critical, requires a fundamentally different strategic playbook. Having a framework to diagnose that, and communicate it clearly to a client, feels like a genuinely useful tool to have early in my consulting career.</w:t>
      </w:r>
    </w:p>
    <w:p w14:paraId="48D77CA3" w14:textId="645048A6" w:rsidR="00D93483" w:rsidRPr="00D93483" w:rsidRDefault="00D93483" w:rsidP="00D93483">
      <w:r w:rsidRPr="00D93483">
        <w:t xml:space="preserve">The concept I'm most curious to explore further is Brain-Computer Interface and Brain-Machine Interface technology. The flyover in Module 1 was enough to flag it as something real and fast-moving, but not enough to fully grasp what it </w:t>
      </w:r>
      <w:proofErr w:type="gramStart"/>
      <w:r w:rsidRPr="00D93483">
        <w:t>actually means</w:t>
      </w:r>
      <w:proofErr w:type="gramEnd"/>
      <w:r w:rsidRPr="00D93483">
        <w:t xml:space="preserve"> — and that gap is exactly what makes me want to dig deeper. The idea that a two-way communication channel between the human brain and a computer is no longer a basic research problem, but an engineering and commercialization one, is genuinely surprising to me. A few things are on my mind going into the rest of the course: what does adoption look like beyond medical applications, and what are the ethical boundaries? But the question I find most compelling is how BCI/BMI interacts with other technologies — particularly AI and big data. It feels like a technology that becomes exponentially more powerful as the availability of data increases and as AI gets smarter at interpreting and acting on that data. You can start to envision a world where the combination of the two creates something far more profound — and potentially far more unsettling — than either technology achieves on its own. That intersection is what I'm most eager to explore as the course progresses.</w:t>
      </w:r>
    </w:p>
    <w:p w14:paraId="4BCBF2AA" w14:textId="21308BC7" w:rsidR="00D93483" w:rsidRPr="00D93483" w:rsidRDefault="00D93483" w:rsidP="00D93483">
      <w:r w:rsidRPr="00D93483">
        <w:t xml:space="preserve">The framework I expect to be most immediately applicable from Module 8 is the combination of the BCG Matrix and the Ansoff Matrix. Both were originally developed by management consulting firms — BCG's matrix notably by the firm's founder — and that lineage is telling. These are tools built for exactly the kind of strategic conversations I expect to be having at Bain with clients. At its core, the BCG Matrix gives you a way to look across a client's portfolio and understand what role each product or business unit is actually playing — whether it's generating cash to fund growth elsewhere, whether it's a high-growth bet that needs investment, or whether it's quietly dragging on resources </w:t>
      </w:r>
      <w:r w:rsidRPr="00D93483">
        <w:lastRenderedPageBreak/>
        <w:t xml:space="preserve">without a clear future. The Ansoff Matrix then adds a complementary lens: once you understand where you are, it helps frame where you could go and at what risk. For </w:t>
      </w:r>
      <w:proofErr w:type="gramStart"/>
      <w:r w:rsidRPr="00D93483">
        <w:t>a consultant</w:t>
      </w:r>
      <w:proofErr w:type="gramEnd"/>
      <w:r w:rsidRPr="00D93483">
        <w:t xml:space="preserve"> working across Bay Area tech clients, where companies are often managing a mix of mature core products and newer, less proven </w:t>
      </w:r>
      <w:proofErr w:type="gramStart"/>
      <w:r w:rsidRPr="00D93483">
        <w:t>bets</w:t>
      </w:r>
      <w:proofErr w:type="gramEnd"/>
      <w:r w:rsidRPr="00D93483">
        <w:t xml:space="preserve"> simultaneously, being able to map that landscape clearly and communicate it to leadership feels like a foundational skill. These aren't exotic frameworks — they're workhorses — and I think that's exactly why they'll matter most early in my career.</w:t>
      </w:r>
    </w:p>
    <w:p w14:paraId="7EB44011" w14:textId="5E6F0644" w:rsidR="00D93483" w:rsidRDefault="00D93483">
      <w:r w:rsidRPr="00D93483">
        <w:t>The concept I'm most keen to explore further is optionality and iterative investment as a risk management tool. The framing that resonated with me was the VC analogy — rather than committing $100M to a single moonshot, you invest sequentially in smaller tranches, each tied to milestones, so that you're continuously learning and de-risking as you go. What struck me about this is that it reframes how you think about uncertainty: instead of trying to predict the future accurately upfront, you buy yourself the right to keep participating as things become clearer. I'm curious to explore how this plays out in practice for large incumbents, who face very different pressures to the VCs and startups the model is borrowed from — and whether the discipline of milestone-based thinking can genuinely survive contact with the political realities of corporate budget cycles.</w:t>
      </w:r>
    </w:p>
    <w:p w14:paraId="326DF80A" w14:textId="5D396A6A" w:rsidR="0002698E" w:rsidRDefault="00D93483">
      <w:r w:rsidRPr="00D93483">
        <w:t xml:space="preserve">Across both modules, the throughline for me is </w:t>
      </w:r>
      <w:r>
        <w:t xml:space="preserve">that </w:t>
      </w:r>
      <w:r w:rsidRPr="00D93483">
        <w:t xml:space="preserve">technology strategy is only as good as the frameworks used to navigate it. Whether that's diagnosing where a client sits on the S-Curve, mapping their portfolio against the BCG Matrix, or structuring investment decisions around optionality rather than prediction, these tools exist to bring clarity to decisions that would otherwise be made on instinct alone. As I head into my consulting career — and continue through this course — I'm most interested in closing the gap between the frameworks as taught and how they </w:t>
      </w:r>
      <w:proofErr w:type="gramStart"/>
      <w:r w:rsidRPr="00D93483">
        <w:t>actually get</w:t>
      </w:r>
      <w:proofErr w:type="gramEnd"/>
      <w:r w:rsidRPr="00D93483">
        <w:t xml:space="preserve"> applied under real organizational pressures. That tension, between the elegance of a model and the messiness of implementation, feels like where the most interesting learning will happen.</w:t>
      </w:r>
    </w:p>
    <w:sectPr w:rsidR="00026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483"/>
    <w:rsid w:val="0002698E"/>
    <w:rsid w:val="000A67B1"/>
    <w:rsid w:val="00475C13"/>
    <w:rsid w:val="00D93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C091"/>
  <w15:chartTrackingRefBased/>
  <w15:docId w15:val="{E7D6215F-6D60-4546-AB12-BC6B6D84A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483"/>
    <w:rPr>
      <w:rFonts w:eastAsiaTheme="majorEastAsia" w:cstheme="majorBidi"/>
      <w:color w:val="272727" w:themeColor="text1" w:themeTint="D8"/>
    </w:rPr>
  </w:style>
  <w:style w:type="paragraph" w:styleId="Title">
    <w:name w:val="Title"/>
    <w:basedOn w:val="Normal"/>
    <w:next w:val="Normal"/>
    <w:link w:val="TitleChar"/>
    <w:uiPriority w:val="10"/>
    <w:qFormat/>
    <w:rsid w:val="00D93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483"/>
    <w:pPr>
      <w:spacing w:before="160"/>
      <w:jc w:val="center"/>
    </w:pPr>
    <w:rPr>
      <w:i/>
      <w:iCs/>
      <w:color w:val="404040" w:themeColor="text1" w:themeTint="BF"/>
    </w:rPr>
  </w:style>
  <w:style w:type="character" w:customStyle="1" w:styleId="QuoteChar">
    <w:name w:val="Quote Char"/>
    <w:basedOn w:val="DefaultParagraphFont"/>
    <w:link w:val="Quote"/>
    <w:uiPriority w:val="29"/>
    <w:rsid w:val="00D93483"/>
    <w:rPr>
      <w:i/>
      <w:iCs/>
      <w:color w:val="404040" w:themeColor="text1" w:themeTint="BF"/>
    </w:rPr>
  </w:style>
  <w:style w:type="paragraph" w:styleId="ListParagraph">
    <w:name w:val="List Paragraph"/>
    <w:basedOn w:val="Normal"/>
    <w:uiPriority w:val="34"/>
    <w:qFormat/>
    <w:rsid w:val="00D93483"/>
    <w:pPr>
      <w:ind w:left="720"/>
      <w:contextualSpacing/>
    </w:pPr>
  </w:style>
  <w:style w:type="character" w:styleId="IntenseEmphasis">
    <w:name w:val="Intense Emphasis"/>
    <w:basedOn w:val="DefaultParagraphFont"/>
    <w:uiPriority w:val="21"/>
    <w:qFormat/>
    <w:rsid w:val="00D93483"/>
    <w:rPr>
      <w:i/>
      <w:iCs/>
      <w:color w:val="0F4761" w:themeColor="accent1" w:themeShade="BF"/>
    </w:rPr>
  </w:style>
  <w:style w:type="paragraph" w:styleId="IntenseQuote">
    <w:name w:val="Intense Quote"/>
    <w:basedOn w:val="Normal"/>
    <w:next w:val="Normal"/>
    <w:link w:val="IntenseQuoteChar"/>
    <w:uiPriority w:val="30"/>
    <w:qFormat/>
    <w:rsid w:val="00D93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483"/>
    <w:rPr>
      <w:i/>
      <w:iCs/>
      <w:color w:val="0F4761" w:themeColor="accent1" w:themeShade="BF"/>
    </w:rPr>
  </w:style>
  <w:style w:type="character" w:styleId="IntenseReference">
    <w:name w:val="Intense Reference"/>
    <w:basedOn w:val="DefaultParagraphFont"/>
    <w:uiPriority w:val="32"/>
    <w:qFormat/>
    <w:rsid w:val="00D934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806</Words>
  <Characters>4598</Characters>
  <Application>Microsoft Office Word</Application>
  <DocSecurity>0</DocSecurity>
  <Lines>38</Lines>
  <Paragraphs>10</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2026-04-12T08:07:00Z</dcterms:created>
  <dcterms:modified xsi:type="dcterms:W3CDTF">2026-04-12T08:08:00Z</dcterms:modified>
</cp:coreProperties>
</file>