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C00000"/>
          <w:sz w:val="28"/>
        </w:rPr>
        <w:t>严格保密</w:t>
      </w:r>
    </w:p>
    <w:p/>
    <w:p>
      <w:pPr>
        <w:jc w:val="center"/>
      </w:pPr>
      <w:r>
        <w:rPr>
          <w:b/>
          <w:color w:val="1F4E79"/>
          <w:sz w:val="56"/>
        </w:rPr>
        <w:t>机密信息备忘录</w:t>
      </w:r>
    </w:p>
    <w:p>
      <w:pPr>
        <w:jc w:val="center"/>
      </w:pPr>
      <w:r>
        <w:rPr>
          <w:color w:val="595959"/>
          <w:sz w:val="32"/>
        </w:rPr>
        <w:t>Confidential Information Memorandum</w:t>
      </w:r>
    </w:p>
    <w:p/>
    <w:p>
      <w:pPr>
        <w:jc w:val="center"/>
      </w:pPr>
      <w:r>
        <w:rPr>
          <w:b/>
          <w:color w:val="1F4E79"/>
          <w:sz w:val="44"/>
        </w:rPr>
        <w:t>CyberArk Software Ltd.</w:t>
      </w:r>
    </w:p>
    <w:p>
      <w:pPr>
        <w:jc w:val="center"/>
      </w:pPr>
      <w:r>
        <w:rPr>
          <w:color w:val="595959"/>
          <w:sz w:val="28"/>
        </w:rPr>
        <w:t>NASDAQ: CYBR</w:t>
      </w:r>
    </w:p>
    <w:p/>
    <w:p/>
    <w:p>
      <w:pPr>
        <w:jc w:val="center"/>
      </w:pPr>
      <w:r>
        <w:rPr>
          <w:b/>
          <w:sz w:val="24"/>
        </w:rPr>
        <w:t>项目代号：Project Shield</w:t>
      </w:r>
    </w:p>
    <w:p>
      <w:pPr>
        <w:jc w:val="center"/>
      </w:pPr>
      <w:r>
        <w:rPr>
          <w:sz w:val="24"/>
        </w:rPr>
        <w:t>编制日期：2026年5月</w:t>
      </w:r>
    </w:p>
    <w:p/>
    <w:p/>
    <w:p>
      <w:pPr>
        <w:jc w:val="center"/>
      </w:pPr>
      <w:r>
        <w:rPr>
          <w:i/>
          <w:color w:val="808080"/>
          <w:sz w:val="18"/>
        </w:rPr>
        <w:t>本文件包含高度机密信息。未经事先书面同意，不得复制、分发或向任何第三方披露。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免责声明</w:t>
      </w:r>
    </w:p>
    <w:p>
      <w:r>
        <w:t>本备忘录由卖方财务顾问编制，仅供合格潜在收购方评估对CyberArk Software Ltd.的潜在收购交易之用。</w:t>
      </w:r>
    </w:p>
    <w:p>
      <w:r>
        <w:t>本备忘录包含机密信息，未经公司或顾问事先书面同意，收件人不得复制、分发或向任何第三方披露本备忘录的全部或部分内容。</w:t>
      </w:r>
    </w:p>
    <w:p>
      <w:r>
        <w:t>本备忘录中的信息基于公司管理层提供的数据和公开可获取的信息，顾问未对信息的完整性和准确性进行独立验证。本备忘录不构成任何形式的要约或招揽。</w:t>
      </w:r>
    </w:p>
    <w:p>
      <w:r>
        <w:t>收件人应自行进行独立尽职调查，并咨询其法律、税务和财务顾问。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目录</w:t>
      </w:r>
    </w:p>
    <w:p>
      <w:r>
        <w:rPr>
          <w:b/>
          <w:sz w:val="24"/>
        </w:rPr>
        <w:t>I.  执行摘要</w:t>
      </w:r>
      <w:r>
        <w:rPr>
          <w:color w:val="808080"/>
          <w:sz w:val="24"/>
        </w:rPr>
        <w:t xml:space="preserve">  ......  1-3</w:t>
      </w:r>
    </w:p>
    <w:p>
      <w:r>
        <w:rPr>
          <w:b/>
          <w:sz w:val="24"/>
        </w:rPr>
        <w:t>II.  公司概况</w:t>
      </w:r>
      <w:r>
        <w:rPr>
          <w:color w:val="808080"/>
          <w:sz w:val="24"/>
        </w:rPr>
        <w:t xml:space="preserve">  ......  4-8</w:t>
      </w:r>
    </w:p>
    <w:p>
      <w:r>
        <w:rPr>
          <w:b/>
          <w:sz w:val="24"/>
        </w:rPr>
        <w:t>III.  行业概况</w:t>
      </w:r>
      <w:r>
        <w:rPr>
          <w:color w:val="808080"/>
          <w:sz w:val="24"/>
        </w:rPr>
        <w:t xml:space="preserve">  ......  9-13</w:t>
      </w:r>
    </w:p>
    <w:p>
      <w:r>
        <w:rPr>
          <w:b/>
          <w:sz w:val="24"/>
        </w:rPr>
        <w:t>IV.  增长机会</w:t>
      </w:r>
      <w:r>
        <w:rPr>
          <w:color w:val="808080"/>
          <w:sz w:val="24"/>
        </w:rPr>
        <w:t xml:space="preserve">  ......  14-16</w:t>
      </w:r>
    </w:p>
    <w:p>
      <w:r>
        <w:rPr>
          <w:b/>
          <w:sz w:val="24"/>
        </w:rPr>
        <w:t>V.  客户与销售</w:t>
      </w:r>
      <w:r>
        <w:rPr>
          <w:color w:val="808080"/>
          <w:sz w:val="24"/>
        </w:rPr>
        <w:t xml:space="preserve">  ......  17-21</w:t>
      </w:r>
    </w:p>
    <w:p>
      <w:r>
        <w:rPr>
          <w:b/>
          <w:sz w:val="24"/>
        </w:rPr>
        <w:t>VI.  运营</w:t>
      </w:r>
      <w:r>
        <w:rPr>
          <w:color w:val="808080"/>
          <w:sz w:val="24"/>
        </w:rPr>
        <w:t xml:space="preserve">  ......  22-25</w:t>
      </w:r>
    </w:p>
    <w:p>
      <w:r>
        <w:rPr>
          <w:b/>
          <w:sz w:val="24"/>
        </w:rPr>
        <w:t>VII.  财务概况</w:t>
      </w:r>
      <w:r>
        <w:rPr>
          <w:color w:val="808080"/>
          <w:sz w:val="24"/>
        </w:rPr>
        <w:t xml:space="preserve">  ......  26-33</w:t>
      </w:r>
    </w:p>
    <w:p>
      <w:r>
        <w:rPr>
          <w:b/>
          <w:sz w:val="24"/>
        </w:rPr>
        <w:t>VIII.  附录</w:t>
      </w:r>
      <w:r>
        <w:rPr>
          <w:color w:val="808080"/>
          <w:sz w:val="24"/>
        </w:rPr>
        <w:t xml:space="preserve">  ......  34-40</w:t>
      </w:r>
    </w:p>
    <w:p>
      <w:r>
        <w:br w:type="page"/>
      </w:r>
    </w:p>
    <w:p>
      <w:pPr>
        <w:pStyle w:val="Heading1"/>
      </w:pPr>
      <w:r>
        <w:rPr>
          <w:color w:val="1F4E79"/>
        </w:rPr>
        <w:t>I. 执行摘要</w:t>
      </w:r>
    </w:p>
    <w:p>
      <w:pPr>
        <w:pStyle w:val="Heading2"/>
      </w:pPr>
      <w:r>
        <w:t>1.1 公司简介</w:t>
      </w:r>
    </w:p>
    <w:p>
      <w:r>
        <w:t>CyberArk Software Ltd.（NASDAQ: CYBR）是全球领先的身份安全平台公司，专注于特权访问管理（PAM）和身份威胁检测与响应（ITDR）领域。公司成立于1999年，总部位于美国马萨诸塞州Newton市，同时在以色列Petah Tikva设有研发中心。</w:t>
      </w:r>
    </w:p>
    <w:p>
      <w:r>
        <w:t>CyberArk提供业界最全面的身份安全平台，覆盖人类身份和机器身份的全生命周期管理。公司已成功从传统许可模式转型为以SaaS订阅为核心的商业模式，FY2025订阅收入占总收入比例超过81%。</w:t>
      </w:r>
    </w:p>
    <w:p>
      <w:r>
        <w:rPr>
          <w:b/>
        </w:rPr>
        <w:t>核心数据速览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FY2025 总收入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$13.61亿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收入同比增长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36%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FY2025 总ARR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$14.4亿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Non-GAAP营业利润率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18%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全球员工数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~3,793人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财富500强覆盖率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&gt;50%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全球覆盖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15+国家</w:t>
            </w:r>
          </w:p>
        </w:tc>
      </w:tr>
    </w:tbl>
    <w:p>
      <w:pPr>
        <w:pStyle w:val="Heading2"/>
      </w:pPr>
      <w:r>
        <w:t>1.2 投资亮点</w:t>
      </w:r>
    </w:p>
    <w:p>
      <w:r>
        <w:rPr>
          <w:b/>
        </w:rPr>
        <w:t xml:space="preserve">1. 市场领导地位与品牌壁垒 — </w:t>
      </w:r>
      <w:r>
        <w:t>Gartner魔力象限PAM领域连续多年领导者象限。全球PAM市场份额第一，客户覆盖超过50%的财富500强企业。</w:t>
      </w:r>
    </w:p>
    <w:p>
      <w:r>
        <w:rPr>
          <w:b/>
        </w:rPr>
        <w:t xml:space="preserve">2. 强劲的收入增长轨迹 — </w:t>
      </w:r>
      <w:r>
        <w:t>FY2023至FY2025收入CAGR达34.4%。ARR从FY2022的$5.7亿增长至FY2025的$14.4亿。</w:t>
      </w:r>
    </w:p>
    <w:p>
      <w:r>
        <w:rPr>
          <w:b/>
        </w:rPr>
        <w:t xml:space="preserve">3. SaaS转型基本完成 — </w:t>
      </w:r>
      <w:r>
        <w:t>订阅收入FY2025达$11.05亿，占总收入81%+。订阅ARR占比约85%。</w:t>
      </w:r>
    </w:p>
    <w:p>
      <w:r>
        <w:rPr>
          <w:b/>
        </w:rPr>
        <w:t xml:space="preserve">4. 利润率持续改善 — </w:t>
      </w:r>
      <w:r>
        <w:t>Non-GAAP营业利润率从15%（FY2024）提升至18%（FY2025），营业利润增长63%。</w:t>
      </w:r>
    </w:p>
    <w:p>
      <w:r>
        <w:rPr>
          <w:b/>
        </w:rPr>
        <w:t xml:space="preserve">5. 战略收购构建全平台 — </w:t>
      </w:r>
      <w:r>
        <w:t>FY2024以$15.4亿收购Venafi；FY2025以$1.75亿收购Zilla Security。</w:t>
      </w:r>
    </w:p>
    <w:p>
      <w:r>
        <w:rPr>
          <w:b/>
        </w:rPr>
        <w:t xml:space="preserve">6. 巨大的TAM — </w:t>
      </w:r>
      <w:r>
        <w:t>IAM市场2025年约$260亿（CAGR 10.4%）；数字身份解决方案约$470亿。</w:t>
      </w:r>
    </w:p>
    <w:p>
      <w:r>
        <w:rPr>
          <w:b/>
        </w:rPr>
        <w:t xml:space="preserve">7. 零信任与AI的结构性顺风 — </w:t>
      </w:r>
      <w:r>
        <w:t>全球企业加速采用零信任架构，AI/GenAI带来新的身份管理挑战和机遇。</w:t>
      </w:r>
    </w:p>
    <w:p>
      <w:pPr>
        <w:pStyle w:val="Heading2"/>
      </w:pPr>
      <w:r>
        <w:t>1.3 财务摘要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总收入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$7.52亿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$10.01亿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$13.61亿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收入同比增长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27%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33%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总ARR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$7.74亿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$11.70亿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$14.40亿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订阅收入占比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~78%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~81%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Non-GAAP营业利润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$0.63亿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$1.51亿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$2.47亿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Non-GAAP营业利润率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8.4%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15.1%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18.1%</w:t>
            </w:r>
          </w:p>
        </w:tc>
      </w:tr>
    </w:tbl>
    <w:p>
      <w:pPr>
        <w:pStyle w:val="Heading2"/>
      </w:pPr>
      <w:r>
        <w:t>1.4 交易概况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描述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交易标的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CyberArk Software Ltd. 100%股权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交易结构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待定（现金/股票混合或全部现金）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指示性时间表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第一轮报价截止：2026年Q3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财务顾问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[卖方顾问名称]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法律顾问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[法律顾问名称]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II. 公司概况</w:t>
      </w:r>
    </w:p>
    <w:p>
      <w:pPr>
        <w:pStyle w:val="Heading2"/>
      </w:pPr>
      <w:r>
        <w:t>2.1 历史沿革</w:t>
      </w:r>
    </w:p>
    <w:p>
      <w:r>
        <w:t>CyberArk由现任首席执行官Udi Mokady于1999年在以色列创立。公司最初专注于特权账户密码管理。</w:t>
      </w:r>
    </w:p>
    <w:p>
      <w:r>
        <w:rPr>
          <w:b/>
        </w:rPr>
        <w:t>发展里程碑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里程碑事件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1999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Udi Mokady在以色列创立CyberArk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2005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推出Enterprise Password Vault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2014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纳斯达克IPO（CYBR），募资约$1.76亿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加速SaaS转型，推出Privilege Cloud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以$15.4亿收购Venafi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以$1.75亿收购Zilla Security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年收入突破$13.6亿，ARR达$14.4亿</w:t>
            </w:r>
          </w:p>
        </w:tc>
      </w:tr>
    </w:tbl>
    <w:p>
      <w:pPr>
        <w:pStyle w:val="Heading2"/>
      </w:pPr>
      <w:r>
        <w:t>2.2 使命与价值主张</w:t>
      </w:r>
    </w:p>
    <w:p>
      <w:r>
        <w:rPr>
          <w:b/>
        </w:rPr>
        <w:t>使命：</w:t>
      </w:r>
      <w:r>
        <w:t>"保障全球领先组织免受网络攻击，通过全面保护人类和机器身份，消除最关键的安全漏洞。"</w:t>
      </w:r>
    </w:p>
    <w:p>
      <w:pPr>
        <w:pStyle w:val="ListBullet"/>
      </w:pPr>
      <w:r>
        <w:t>全面覆盖：唯一同时保护人类身份和机器身份的平台</w:t>
      </w:r>
    </w:p>
    <w:p>
      <w:pPr>
        <w:pStyle w:val="ListBullet"/>
      </w:pPr>
      <w:r>
        <w:t>深度防御：从特权发现到威胁检测的端到端防护</w:t>
      </w:r>
    </w:p>
    <w:p>
      <w:pPr>
        <w:pStyle w:val="ListBullet"/>
      </w:pPr>
      <w:r>
        <w:t>云原生架构：SaaS优先部署，支持混合云和多云</w:t>
      </w:r>
    </w:p>
    <w:p>
      <w:pPr>
        <w:pStyle w:val="ListBullet"/>
      </w:pPr>
      <w:r>
        <w:t>生态集成：与100+安全工具和IT平台深度集成</w:t>
      </w:r>
    </w:p>
    <w:p>
      <w:pPr>
        <w:pStyle w:val="Heading2"/>
      </w:pPr>
      <w:r>
        <w:t>2.3 产品与服务</w:t>
      </w:r>
    </w:p>
    <w:p>
      <w:r>
        <w:t>CyberArk Identity Security Platform产品组合：</w:t>
      </w:r>
    </w:p>
    <w:p>
      <w:r>
        <w:rPr>
          <w:b/>
        </w:rPr>
        <w:t xml:space="preserve">Privileged Access Manager (PAM) — </w:t>
      </w:r>
      <w:r>
        <w:t>旗舰产品，凭证保管、会话隔离、审计追踪</w:t>
      </w:r>
    </w:p>
    <w:p>
      <w:r>
        <w:rPr>
          <w:b/>
        </w:rPr>
        <w:t xml:space="preserve">Secrets Manager, SaaS — </w:t>
      </w:r>
      <w:r>
        <w:t>云原生密钥管理，保护容器和CI/CD管道</w:t>
      </w:r>
    </w:p>
    <w:p>
      <w:r>
        <w:rPr>
          <w:b/>
        </w:rPr>
        <w:t xml:space="preserve">Machine Identity Security (原Venafi) — </w:t>
      </w:r>
      <w:r>
        <w:t>TLS证书管理、代码签名、机器身份自动化</w:t>
      </w:r>
    </w:p>
    <w:p>
      <w:r>
        <w:rPr>
          <w:b/>
        </w:rPr>
        <w:t xml:space="preserve">Identity Governance (原Zilla Security) — </w:t>
      </w:r>
      <w:r>
        <w:t>IGA平台，访问治理、合规审计</w:t>
      </w:r>
    </w:p>
    <w:p>
      <w:r>
        <w:rPr>
          <w:b/>
        </w:rPr>
        <w:t xml:space="preserve">Endpoint Privilege Manager — </w:t>
      </w:r>
      <w:r>
        <w:t>端点最小权限管理、应用控制</w:t>
      </w:r>
    </w:p>
    <w:p>
      <w:r>
        <w:rPr>
          <w:b/>
        </w:rPr>
        <w:t xml:space="preserve">ITDR — </w:t>
      </w:r>
      <w:r>
        <w:t>AI身份威胁检测、实时监控、自动响应</w:t>
      </w:r>
    </w:p>
    <w:p>
      <w:pPr>
        <w:pStyle w:val="Heading2"/>
      </w:pPr>
      <w:r>
        <w:t>2.4 商业模式与收入来源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收入类型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订阅收入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~$4.5亿 (60%)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~$7.8亿 (78%)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~$11.1亿 (81%)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许可+维护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~$2.2亿 (29%)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~$1.5亿 (15%)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~$1.4亿 (10%)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专业服务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~$0.8亿 (11%)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~$0.7亿 (7%)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~$1.1亿 (9%)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$7.52亿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$10.01亿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$13.61亿</w:t>
            </w:r>
          </w:p>
        </w:tc>
      </w:tr>
    </w:tbl>
    <w:p>
      <w:pPr>
        <w:pStyle w:val="Heading2"/>
      </w:pPr>
      <w:r>
        <w:t>2.5 核心竞争优势</w:t>
      </w:r>
    </w:p>
    <w:p>
      <w:pPr>
        <w:pStyle w:val="ListBullet"/>
      </w:pPr>
      <w:r>
        <w:t>技术领先：80+项专利，20+年威胁情报积累</w:t>
      </w:r>
    </w:p>
    <w:p>
      <w:pPr>
        <w:pStyle w:val="ListBullet"/>
      </w:pPr>
      <w:r>
        <w:t>市场定义者：创造PAM细分市场，Gartner连续多年领导者</w:t>
      </w:r>
    </w:p>
    <w:p>
      <w:pPr>
        <w:pStyle w:val="ListBullet"/>
      </w:pPr>
      <w:r>
        <w:t>最完整产品线：PAM + 机器身份 + IGA + ITDR 四合一平台</w:t>
      </w:r>
    </w:p>
    <w:p>
      <w:pPr>
        <w:pStyle w:val="ListBullet"/>
      </w:pPr>
      <w:r>
        <w:t>全球化运营：15+国家覆盖，30+语言支持</w:t>
      </w:r>
    </w:p>
    <w:p>
      <w:r>
        <w:br w:type="page"/>
      </w:r>
    </w:p>
    <w:p>
      <w:pPr>
        <w:pStyle w:val="Heading1"/>
      </w:pPr>
      <w:r>
        <w:rPr>
          <w:color w:val="1F4E79"/>
        </w:rPr>
        <w:t>III. 行业概况</w:t>
      </w:r>
    </w:p>
    <w:p>
      <w:pPr>
        <w:pStyle w:val="Heading2"/>
      </w:pPr>
      <w:r>
        <w:t>3.1 市场规模（TAM）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市场细分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2025年规模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2030年预测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CAGR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~$260亿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~$426亿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10.4%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~$35亿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~$65亿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13.2%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机器身份管理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~$30亿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~$60亿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14.9%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IGA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~$80亿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~$140亿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11.8%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ITDR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~$20亿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~$50亿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20.1%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身份安全总TAM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~$470亿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~$800亿+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~11.5%</w:t>
            </w:r>
          </w:p>
        </w:tc>
      </w:tr>
    </w:tbl>
    <w:p>
      <w:pPr>
        <w:pStyle w:val="Heading2"/>
      </w:pPr>
      <w:r>
        <w:t>3.2 核心增长驱动因素</w:t>
      </w:r>
    </w:p>
    <w:p>
      <w:pPr>
        <w:pStyle w:val="ListBullet"/>
      </w:pPr>
      <w:r>
        <w:t>网络攻击损失超$9.5万亿，80%+勒索攻击涉及凭证盗窃</w:t>
      </w:r>
    </w:p>
    <w:p>
      <w:pPr>
        <w:pStyle w:val="ListBullet"/>
      </w:pPr>
      <w:r>
        <w:t>零信任架构全球部署，身份是核心第一层</w:t>
      </w:r>
    </w:p>
    <w:p>
      <w:pPr>
        <w:pStyle w:val="ListBullet"/>
      </w:pPr>
      <w:r>
        <w:t>机器身份数量已超人类45:1</w:t>
      </w:r>
    </w:p>
    <w:p>
      <w:pPr>
        <w:pStyle w:val="ListBullet"/>
      </w:pPr>
      <w:r>
        <w:t>AI/GenAI带来新身份管理挑战</w:t>
      </w:r>
    </w:p>
    <w:p>
      <w:pPr>
        <w:pStyle w:val="ListBullet"/>
      </w:pPr>
      <w:r>
        <w:t>NIS2、DORA、SEC合规要求持续推动</w:t>
      </w:r>
    </w:p>
    <w:p>
      <w:pPr>
        <w:pStyle w:val="Heading2"/>
      </w:pPr>
      <w:r>
        <w:t>3.3 竞争格局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竞争对手</w:t>
            </w:r>
          </w:p>
        </w:tc>
        <w:tc>
          <w:tcPr>
            <w:tcW w:type="dxa" w:w="15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核心产品</w:t>
            </w:r>
          </w:p>
        </w:tc>
        <w:tc>
          <w:tcPr>
            <w:tcW w:type="dxa" w:w="15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目标市场</w:t>
            </w:r>
          </w:p>
        </w:tc>
        <w:tc>
          <w:tcPr>
            <w:tcW w:type="dxa" w:w="15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PAM份额</w:t>
            </w:r>
          </w:p>
        </w:tc>
        <w:tc>
          <w:tcPr>
            <w:tcW w:type="dxa" w:w="15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15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劣势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CyberArk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Identity Platform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大型企业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~30%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产品最全、品牌最强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价格较高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BeyondTrust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Privilege Mgmt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中大型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端点管理强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产品线较窄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Delinea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Secret Server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中型市场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~10%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性价比高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大企业能力不足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Okta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IAM/SSO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中大型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生态强大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PAM能力浅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One Identity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 Roles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大型企业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Quest整合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策略不聚焦</w:t>
            </w:r>
          </w:p>
        </w:tc>
      </w:tr>
    </w:tbl>
    <w:p>
      <w:pPr>
        <w:pStyle w:val="Heading2"/>
      </w:pPr>
      <w:r>
        <w:t>3.4 进入壁垒</w:t>
      </w:r>
    </w:p>
    <w:p>
      <w:pPr>
        <w:pStyle w:val="ListBullet"/>
      </w:pPr>
      <w:r>
        <w:t>技术壁垒：PAM技术复杂度高，需多年研发积累</w:t>
      </w:r>
    </w:p>
    <w:p>
      <w:pPr>
        <w:pStyle w:val="ListBullet"/>
      </w:pPr>
      <w:r>
        <w:t>客户切换成本：部署后切换成本极高</w:t>
      </w:r>
    </w:p>
    <w:p>
      <w:pPr>
        <w:pStyle w:val="ListBullet"/>
      </w:pPr>
      <w:r>
        <w:t>合规认证壁垒：SOC 2、ISO 27001、FedRAMP认证周期长</w:t>
      </w:r>
    </w:p>
    <w:p>
      <w:pPr>
        <w:pStyle w:val="ListBullet"/>
      </w:pPr>
      <w:r>
        <w:t>品牌信任壁垒：20+年安全运营记录</w:t>
      </w:r>
    </w:p>
    <w:p>
      <w:r>
        <w:br w:type="page"/>
      </w:r>
    </w:p>
    <w:p>
      <w:pPr>
        <w:pStyle w:val="Heading1"/>
      </w:pPr>
      <w:r>
        <w:rPr>
          <w:color w:val="1F4E79"/>
        </w:rPr>
        <w:t>IV. 增长机会</w:t>
      </w:r>
    </w:p>
    <w:p>
      <w:pPr>
        <w:pStyle w:val="Heading2"/>
      </w:pPr>
      <w:r>
        <w:t>4.1 有机增长杠杆</w:t>
      </w:r>
    </w:p>
    <w:p>
      <w:r>
        <w:rPr>
          <w:b/>
        </w:rPr>
        <w:t xml:space="preserve">IGA新赛道 — </w:t>
      </w:r>
      <w:r>
        <w:t>市场规模$80亿，CAGR 11.8%，交叉销售转化率25-35%</w:t>
      </w:r>
    </w:p>
    <w:p>
      <w:r>
        <w:rPr>
          <w:b/>
        </w:rPr>
        <w:t xml:space="preserve">ITDR — </w:t>
      </w:r>
      <w:r>
        <w:t>增长最快子市场（CAGR ~20%），防御+检测闭环</w:t>
      </w:r>
    </w:p>
    <w:p>
      <w:r>
        <w:rPr>
          <w:b/>
        </w:rPr>
        <w:t xml:space="preserve">AI身份安全 — </w:t>
      </w:r>
      <w:r>
        <w:t>AI代理身份管理是新市场空白，2026-2028年贡献收入</w:t>
      </w:r>
    </w:p>
    <w:p>
      <w:r>
        <w:rPr>
          <w:b/>
        </w:rPr>
        <w:t xml:space="preserve">地域扩张 — </w:t>
      </w:r>
      <w:r>
        <w:t>NIS2驱动欧洲、亚太政府项目</w:t>
      </w:r>
    </w:p>
    <w:p>
      <w:r>
        <w:rPr>
          <w:b/>
        </w:rPr>
        <w:t xml:space="preserve">定价优化 — </w:t>
      </w:r>
      <w:r>
        <w:t>增值模块、消费型定价、平台打包提升ARPU</w:t>
      </w:r>
    </w:p>
    <w:p>
      <w:pPr>
        <w:pStyle w:val="Heading2"/>
      </w:pPr>
      <w:r>
        <w:t>4.2 收购机会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市场规模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战略价值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预计交易规模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CIEM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~$15亿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多云权限管理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$3-8亿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IDV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~$140亿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用户身份验证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$2-5亿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ZTNA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~$50亿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完整零信任方案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$5-10亿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AI安全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~$100亿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AI工作负载保护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$3-8亿</w:t>
            </w:r>
          </w:p>
        </w:tc>
      </w:tr>
    </w:tbl>
    <w:p>
      <w:pPr>
        <w:pStyle w:val="Heading2"/>
      </w:pPr>
      <w:r>
        <w:t>4.3 管理层预测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指标（$M）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FY2025A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FY2026E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FY2027E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FY2028E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总收入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$1,361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$1,770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$2,240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$2,780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增长率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36%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27%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24%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Non-GAAP 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$247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$354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$493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$667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OP利润率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24%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FCF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V. 客户与销售</w:t>
      </w:r>
    </w:p>
    <w:p>
      <w:pPr>
        <w:pStyle w:val="Heading2"/>
      </w:pPr>
      <w:r>
        <w:t>5.1 客户概况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总客户数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~8,000+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财富500强覆盖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&gt;50%（约260家）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客户留存率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&gt;95%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净留存率（NRR）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&gt;120%</w:t>
            </w:r>
          </w:p>
        </w:tc>
      </w:tr>
    </w:tbl>
    <w:p>
      <w:pPr>
        <w:pStyle w:val="Heading2"/>
      </w:pPr>
      <w:r>
        <w:t>5.2 行业分布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代表客户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金融服务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银行、保险、资管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科技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大型科技、SaaS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政府/国防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联邦机构、情报部门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医疗健康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医院、制药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制造业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工业4.0、汽车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零售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全球零售品牌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能源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电力、油气</w:t>
            </w:r>
          </w:p>
        </w:tc>
      </w:tr>
    </w:tbl>
    <w:p>
      <w:pPr>
        <w:pStyle w:val="Heading2"/>
      </w:pPr>
      <w:r>
        <w:t>5.3 匿名化大客户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地区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年合同价值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金融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北美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PAM+Secrets+ITDR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$5M+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科技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北美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Privilege Cloud+MI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$4M+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政府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EMEA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全平台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$3.5M+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医疗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北美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PAM+EPM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$3M+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制造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亚太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PC+Secrets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$2.5M+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能源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EMEA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PAM+MI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$2M+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零售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北美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PAM+IGA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$2M+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金融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EMEA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全平台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$4.5M+</w:t>
            </w:r>
          </w:p>
        </w:tc>
      </w:tr>
    </w:tbl>
    <w:p>
      <w:r>
        <w:t>前10大客户占比&lt;15%，最大单客&lt;3%，无客户集中风险。</w:t>
      </w:r>
    </w:p>
    <w:p>
      <w:pPr>
        <w:pStyle w:val="Heading2"/>
      </w:pPr>
      <w:r>
        <w:t>5.4 销售周期与GTM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客户类型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ACV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胜率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大企业(新)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6-12月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$50-200万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35-45%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大企业(扩展)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$20-100万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60-70%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中型(新)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$10-50万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40-50%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中型(扩展)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$5-20万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65-75%</w:t>
            </w:r>
          </w:p>
        </w:tc>
      </w:tr>
    </w:tbl>
    <w:p>
      <w:pPr>
        <w:pStyle w:val="ListBullet"/>
      </w:pPr>
      <w:r>
        <w:t>直销(55%)：大企业和政府</w:t>
      </w:r>
    </w:p>
    <w:p>
      <w:pPr>
        <w:pStyle w:val="ListBullet"/>
      </w:pPr>
      <w:r>
        <w:t>渠道(30%)：Accenture/Deloitte/IBM</w:t>
      </w:r>
    </w:p>
    <w:p>
      <w:pPr>
        <w:pStyle w:val="ListBullet"/>
      </w:pPr>
      <w:r>
        <w:t>云市场(10%)：AWS/Azure Marketplace</w:t>
      </w:r>
    </w:p>
    <w:p>
      <w:pPr>
        <w:pStyle w:val="ListBullet"/>
      </w:pPr>
      <w:r>
        <w:t>数字(5%)：中小企业自助</w:t>
      </w:r>
    </w:p>
    <w:p>
      <w:r>
        <w:br w:type="page"/>
      </w:r>
    </w:p>
    <w:p>
      <w:pPr>
        <w:pStyle w:val="Heading1"/>
      </w:pPr>
      <w:r>
        <w:rPr>
          <w:color w:val="1F4E79"/>
        </w:rPr>
        <w:t>VI. 运营</w:t>
      </w:r>
    </w:p>
    <w:p>
      <w:pPr>
        <w:pStyle w:val="Heading2"/>
      </w:pPr>
      <w:r>
        <w:t>6.1 全球布局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地区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办公室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员工(估)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北美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Newton, MA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总部、销售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~800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北美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San Jose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销售、售前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北美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Herndon, VA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联邦政府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~150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以色列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Petah Tikva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研发总部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以色列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Beer Sheva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研发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欧洲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London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EMEA总部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亚太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Singapore/Tokyo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亚太销售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~240</w:t>
            </w:r>
          </w:p>
        </w:tc>
      </w:tr>
    </w:tbl>
    <w:p>
      <w:pPr>
        <w:pStyle w:val="Heading2"/>
      </w:pPr>
      <w:r>
        <w:t>6.2 关键管理人员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职位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任职时间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背景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Udi Mokady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CEO兼董事长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1999至今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创始人，Unit 8200出身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Josh Siegel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CFO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2023年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前Tesla财务高管</w:t>
            </w:r>
          </w:p>
        </w:tc>
      </w:tr>
    </w:tbl>
    <w:p>
      <w:pPr>
        <w:pStyle w:val="Heading2"/>
      </w:pPr>
      <w:r>
        <w:t>6.3 安全认证</w:t>
      </w:r>
    </w:p>
    <w:p>
      <w:pPr>
        <w:pStyle w:val="ListBullet"/>
      </w:pPr>
      <w:r>
        <w:t>SOC 2 Type II</w:t>
      </w:r>
    </w:p>
    <w:p>
      <w:pPr>
        <w:pStyle w:val="ListBullet"/>
      </w:pPr>
      <w:r>
        <w:t>ISO 27001</w:t>
      </w:r>
    </w:p>
    <w:p>
      <w:pPr>
        <w:pStyle w:val="ListBullet"/>
      </w:pPr>
      <w:r>
        <w:t>FedRAMP</w:t>
      </w:r>
    </w:p>
    <w:p>
      <w:pPr>
        <w:pStyle w:val="ListBullet"/>
      </w:pPr>
      <w:r>
        <w:t>PCI DSS</w:t>
      </w:r>
    </w:p>
    <w:p>
      <w:pPr>
        <w:pStyle w:val="ListBullet"/>
      </w:pPr>
      <w:r>
        <w:t>GDPR</w:t>
      </w:r>
    </w:p>
    <w:p>
      <w:r>
        <w:br w:type="page"/>
      </w:r>
    </w:p>
    <w:p>
      <w:pPr>
        <w:pStyle w:val="Heading1"/>
      </w:pPr>
      <w:r>
        <w:rPr>
          <w:color w:val="1F4E79"/>
        </w:rPr>
        <w:t>VII. 财务概况</w:t>
      </w:r>
    </w:p>
    <w:p>
      <w:pPr>
        <w:pStyle w:val="Heading2"/>
      </w:pPr>
      <w:r>
        <w:t>7.1 历史利润表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指标($M)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FY2020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FY2021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FY2025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总收入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$464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$503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$592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$752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$1,001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$1,361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增长率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8.3%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17.7%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27.1%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33.1%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36.0%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毛利率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~80%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~81%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~81%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~82%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~83%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~84%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Non-GAAP OP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$63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$151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$247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OP利润率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8.4%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15.1%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18.1%</w:t>
            </w:r>
          </w:p>
        </w:tc>
      </w:tr>
    </w:tbl>
    <w:p>
      <w:pPr>
        <w:pStyle w:val="Heading2"/>
      </w:pPr>
      <w:r>
        <w:t>7.2 ARR分析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指标($M)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FY2025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期末ARR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$570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$774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$1,170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$1,440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YoY增长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36%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51%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23%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订阅ARR占比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~70%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~84%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~85%</w:t>
            </w:r>
          </w:p>
        </w:tc>
      </w:tr>
    </w:tbl>
    <w:p>
      <w:pPr>
        <w:pStyle w:val="Heading2"/>
      </w:pPr>
      <w:r>
        <w:t>7.3 利润率趋势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毛利率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~82%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~83%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~84%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研发费率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~22.5%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~22.0%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~21.3%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销售费率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~43.4%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~38.6%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~35.6%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管理费率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~13.0%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~11.2%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~10.3%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OP利润率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~8.4%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~15.1%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~18.1%</w:t>
            </w:r>
          </w:p>
        </w:tc>
      </w:tr>
    </w:tbl>
    <w:p>
      <w:pPr>
        <w:pStyle w:val="Heading2"/>
      </w:pPr>
      <w:r>
        <w:t>7.4 现金流量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指标($M)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经营现金流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~$200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~$300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资本支出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~($30)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~($40)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~($50)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自由现金流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~$90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~$160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~$250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FCF利润率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~12%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~16%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~18%</w:t>
            </w:r>
          </w:p>
        </w:tc>
      </w:tr>
    </w:tbl>
    <w:p>
      <w:pPr>
        <w:pStyle w:val="Heading2"/>
      </w:pPr>
      <w:r>
        <w:t>7.5 管理层预测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指标($M)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FY2025A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FY2026E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FY2027E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FY2028E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总收入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$1,361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$1,770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$2,240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$2,780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增长率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36%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27%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24%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Non-GAAP 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$247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$354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$493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$667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OP利润率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VIII. 附录</w:t>
      </w:r>
    </w:p>
    <w:p>
      <w:pPr>
        <w:pStyle w:val="Heading2"/>
      </w:pPr>
      <w:r>
        <w:t>附录A：收入CAGR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期间</w:t>
            </w:r>
          </w:p>
        </w:tc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CAGR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FY2020-2025(5年)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24.0%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FY2022-2025(3年)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32.1%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FY2023-2025(2年)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34.6%</w:t>
            </w:r>
          </w:p>
        </w:tc>
      </w:tr>
    </w:tbl>
    <w:p>
      <w:pPr>
        <w:pStyle w:val="Heading2"/>
      </w:pPr>
      <w:r>
        <w:t>附录B：产品目录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部署</w:t>
            </w:r>
          </w:p>
        </w:tc>
        <w:tc>
          <w:tcPr>
            <w:tcW w:type="dxa" w:w="23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核心功能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Privilege Cloud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凭证保管、会话隔离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PAM Self-Hosted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本地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密码保管库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Secrets Manager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密钥管理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容器密钥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Machine Identity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机器身份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混合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TLS证书管理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端点安全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混合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最小权限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ITDR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威胁检测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AI威胁检测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Identity Governance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IGA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访问治理</w:t>
            </w:r>
          </w:p>
        </w:tc>
      </w:tr>
    </w:tbl>
    <w:p>
      <w:pPr>
        <w:pStyle w:val="Heading2"/>
      </w:pPr>
      <w:r>
        <w:t>附录C：数据来源</w:t>
      </w:r>
    </w:p>
    <w:p>
      <w:pPr>
        <w:pStyle w:val="ListBullet"/>
      </w:pPr>
      <w:r>
        <w:t>CyberArk官方新闻稿 (cyberark.com/press)</w:t>
      </w:r>
    </w:p>
    <w:p>
      <w:pPr>
        <w:pStyle w:val="ListBullet"/>
      </w:pPr>
      <w:r>
        <w:t>Macrotrends (macrotrends.net)</w:t>
      </w:r>
    </w:p>
    <w:p>
      <w:pPr>
        <w:pStyle w:val="ListBullet"/>
      </w:pPr>
      <w:r>
        <w:t>Yahoo Finance (finance.yahoo.com)</w:t>
      </w:r>
    </w:p>
    <w:p>
      <w:pPr>
        <w:pStyle w:val="ListBullet"/>
      </w:pPr>
      <w:r>
        <w:t>MarketsandMarkets IAM报告</w:t>
      </w:r>
    </w:p>
    <w:p>
      <w:pPr>
        <w:pStyle w:val="ListBullet"/>
      </w:pPr>
      <w:r>
        <w:t>Precedence Research</w:t>
      </w:r>
    </w:p>
    <w:p>
      <w:pPr>
        <w:pStyle w:val="ListBullet"/>
      </w:pPr>
      <w:r>
        <w:t>Gartner MQ PAM</w:t>
      </w:r>
    </w:p>
    <w:p>
      <w:pPr>
        <w:pStyle w:val="ListBullet"/>
      </w:pPr>
      <w:r>
        <w:t>SEC 10-K/10-Q</w:t>
      </w:r>
    </w:p>
    <w:p/>
    <w:p>
      <w:pPr>
        <w:jc w:val="center"/>
      </w:pPr>
      <w:r>
        <w:rPr>
          <w:b/>
          <w:color w:val="1F4E79"/>
          <w:sz w:val="24"/>
        </w:rPr>
        <w:t>— 本备忘录结束 —</w:t>
      </w:r>
    </w:p>
    <w:p>
      <w:pPr>
        <w:jc w:val="center"/>
      </w:pPr>
      <w:r>
        <w:rPr>
          <w:b/>
          <w:color w:val="C00000"/>
        </w:rPr>
        <w:t>严格保密 — 未经书面授权不得复制或分发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