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CC92" w14:textId="77777777" w:rsidR="00333DC2" w:rsidRDefault="00333DC2" w:rsidP="00333DC2">
      <w:r w:rsidRPr="00FA5C7D">
        <w:rPr>
          <w:noProof/>
          <w:sz w:val="44"/>
        </w:rPr>
        <w:drawing>
          <wp:anchor distT="0" distB="0" distL="114300" distR="114300" simplePos="0" relativeHeight="251659264" behindDoc="0" locked="0" layoutInCell="1" allowOverlap="1" wp14:anchorId="5C69D80B" wp14:editId="11BF54FB">
            <wp:simplePos x="0" y="0"/>
            <wp:positionH relativeFrom="margin">
              <wp:align>center</wp:align>
            </wp:positionH>
            <wp:positionV relativeFrom="margin">
              <wp:posOffset>-400050</wp:posOffset>
            </wp:positionV>
            <wp:extent cx="2367280" cy="2364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7280" cy="2364740"/>
                    </a:xfrm>
                    <a:prstGeom prst="ellipse">
                      <a:avLst/>
                    </a:prstGeom>
                    <a:noFill/>
                    <a:ln>
                      <a:noFill/>
                    </a:ln>
                  </pic:spPr>
                </pic:pic>
              </a:graphicData>
            </a:graphic>
            <wp14:sizeRelH relativeFrom="margin">
              <wp14:pctWidth>0</wp14:pctWidth>
            </wp14:sizeRelH>
            <wp14:sizeRelV relativeFrom="margin">
              <wp14:pctHeight>0</wp14:pctHeight>
            </wp14:sizeRelV>
          </wp:anchor>
        </w:drawing>
      </w:r>
    </w:p>
    <w:p w14:paraId="247BFB25" w14:textId="77777777" w:rsidR="00333DC2" w:rsidRDefault="00333DC2" w:rsidP="00333DC2"/>
    <w:p w14:paraId="435E88E4" w14:textId="77777777" w:rsidR="00333DC2" w:rsidRDefault="00333DC2" w:rsidP="00333DC2"/>
    <w:p w14:paraId="1CB6737D" w14:textId="77777777" w:rsidR="00333DC2" w:rsidRDefault="00333DC2" w:rsidP="00333DC2"/>
    <w:p w14:paraId="1E794207" w14:textId="77777777" w:rsidR="00333DC2" w:rsidRDefault="00333DC2" w:rsidP="00333DC2"/>
    <w:p w14:paraId="2CE6C230" w14:textId="77777777" w:rsidR="00333DC2" w:rsidRDefault="00333DC2" w:rsidP="00333DC2">
      <w:pPr>
        <w:rPr>
          <w:rFonts w:ascii="Cambria" w:hAnsi="Cambria"/>
          <w:sz w:val="44"/>
        </w:rPr>
      </w:pPr>
    </w:p>
    <w:p w14:paraId="2BB47565" w14:textId="77777777" w:rsidR="00333DC2" w:rsidRDefault="00333DC2" w:rsidP="00333DC2">
      <w:pPr>
        <w:jc w:val="center"/>
        <w:rPr>
          <w:rFonts w:ascii="Cambria" w:hAnsi="Cambria"/>
          <w:sz w:val="44"/>
        </w:rPr>
      </w:pPr>
    </w:p>
    <w:p w14:paraId="450861E2" w14:textId="359F0C39" w:rsidR="00333DC2" w:rsidRDefault="00333DC2" w:rsidP="00333DC2">
      <w:pPr>
        <w:spacing w:line="360" w:lineRule="auto"/>
        <w:jc w:val="center"/>
        <w:rPr>
          <w:rFonts w:ascii="Cambria" w:hAnsi="Cambria"/>
          <w:bCs/>
          <w:color w:val="000000"/>
          <w:sz w:val="48"/>
          <w:szCs w:val="32"/>
        </w:rPr>
      </w:pPr>
      <w:r>
        <w:rPr>
          <w:rFonts w:ascii="Cambria" w:hAnsi="Cambria"/>
          <w:bCs/>
          <w:color w:val="000000"/>
          <w:sz w:val="48"/>
          <w:szCs w:val="32"/>
        </w:rPr>
        <w:t>Software Project Management</w:t>
      </w:r>
    </w:p>
    <w:p w14:paraId="6D9FEBCC" w14:textId="31F49412" w:rsidR="00333DC2" w:rsidRPr="006C5ED9" w:rsidRDefault="00333DC2" w:rsidP="00333DC2">
      <w:pPr>
        <w:spacing w:line="360" w:lineRule="auto"/>
        <w:jc w:val="center"/>
        <w:rPr>
          <w:rFonts w:ascii="Cambria" w:hAnsi="Cambria"/>
          <w:sz w:val="52"/>
        </w:rPr>
      </w:pPr>
      <w:r>
        <w:rPr>
          <w:rFonts w:ascii="Cambria" w:hAnsi="Cambria"/>
          <w:sz w:val="52"/>
        </w:rPr>
        <w:t>Assignment No. 0</w:t>
      </w:r>
      <w:r>
        <w:rPr>
          <w:rFonts w:ascii="Cambria" w:hAnsi="Cambria"/>
          <w:sz w:val="52"/>
        </w:rPr>
        <w:t>3</w:t>
      </w:r>
    </w:p>
    <w:p w14:paraId="2B25E301" w14:textId="38A4FCA6" w:rsidR="00333DC2" w:rsidRPr="009B1B2A" w:rsidRDefault="00333DC2" w:rsidP="00333DC2">
      <w:pPr>
        <w:jc w:val="center"/>
        <w:rPr>
          <w:rFonts w:ascii="Cambria" w:hAnsi="Cambria"/>
          <w:i/>
          <w:sz w:val="56"/>
          <w:szCs w:val="56"/>
        </w:rPr>
      </w:pPr>
      <w:r w:rsidRPr="00F4730F">
        <w:rPr>
          <w:rFonts w:ascii="Cambria" w:hAnsi="Cambria"/>
          <w:iCs/>
          <w:sz w:val="56"/>
          <w:szCs w:val="56"/>
        </w:rPr>
        <w:t>Instructor:</w:t>
      </w:r>
      <w:r w:rsidRPr="009B1B2A">
        <w:rPr>
          <w:rFonts w:ascii="Cambria" w:hAnsi="Cambria"/>
          <w:i/>
          <w:sz w:val="56"/>
          <w:szCs w:val="56"/>
        </w:rPr>
        <w:t xml:space="preserve"> </w:t>
      </w:r>
      <w:r>
        <w:rPr>
          <w:rFonts w:ascii="Cambria" w:hAnsi="Cambria"/>
          <w:i/>
          <w:sz w:val="56"/>
          <w:szCs w:val="56"/>
        </w:rPr>
        <w:t xml:space="preserve"> </w:t>
      </w:r>
      <w:r>
        <w:rPr>
          <w:rFonts w:ascii="Arial Black" w:hAnsi="Arial Black"/>
          <w:sz w:val="52"/>
          <w:szCs w:val="52"/>
        </w:rPr>
        <w:t xml:space="preserve">Mam. </w:t>
      </w:r>
      <w:proofErr w:type="spellStart"/>
      <w:r>
        <w:rPr>
          <w:rFonts w:ascii="Arial Black" w:hAnsi="Arial Black"/>
          <w:sz w:val="52"/>
          <w:szCs w:val="52"/>
        </w:rPr>
        <w:t>Fareeha</w:t>
      </w:r>
      <w:proofErr w:type="spellEnd"/>
      <w:r>
        <w:rPr>
          <w:rFonts w:ascii="Arial Black" w:hAnsi="Arial Black"/>
          <w:sz w:val="52"/>
          <w:szCs w:val="52"/>
        </w:rPr>
        <w:t xml:space="preserve"> Iftikhar</w:t>
      </w:r>
    </w:p>
    <w:p w14:paraId="6782546F" w14:textId="77777777" w:rsidR="00333DC2" w:rsidRPr="00F23DA7" w:rsidRDefault="00333DC2" w:rsidP="00333DC2">
      <w:pPr>
        <w:jc w:val="center"/>
        <w:rPr>
          <w:rFonts w:ascii="Arial Black" w:hAnsi="Arial Black"/>
          <w:b/>
        </w:rPr>
      </w:pPr>
    </w:p>
    <w:p w14:paraId="0DEE1393" w14:textId="77777777" w:rsidR="00333DC2" w:rsidRPr="00584975" w:rsidRDefault="00333DC2" w:rsidP="00333DC2">
      <w:pPr>
        <w:jc w:val="center"/>
        <w:rPr>
          <w:rFonts w:ascii="Arial Black" w:hAnsi="Arial Black"/>
          <w:sz w:val="8"/>
        </w:rPr>
      </w:pPr>
    </w:p>
    <w:tbl>
      <w:tblPr>
        <w:tblStyle w:val="PlainTable2"/>
        <w:tblW w:w="9000" w:type="dxa"/>
        <w:jc w:val="center"/>
        <w:tblLook w:val="04A0" w:firstRow="1" w:lastRow="0" w:firstColumn="1" w:lastColumn="0" w:noHBand="0" w:noVBand="1"/>
      </w:tblPr>
      <w:tblGrid>
        <w:gridCol w:w="3240"/>
        <w:gridCol w:w="5760"/>
      </w:tblGrid>
      <w:tr w:rsidR="00333DC2" w14:paraId="7E64D187" w14:textId="77777777" w:rsidTr="009644F3">
        <w:trPr>
          <w:cnfStyle w:val="100000000000" w:firstRow="1" w:lastRow="0" w:firstColumn="0" w:lastColumn="0" w:oddVBand="0" w:evenVBand="0" w:oddHBand="0" w:evenHBand="0" w:firstRowFirstColumn="0" w:firstRowLastColumn="0" w:lastRowFirstColumn="0" w:lastRowLastColumn="0"/>
          <w:trHeight w:val="926"/>
          <w:jc w:val="center"/>
        </w:trPr>
        <w:tc>
          <w:tcPr>
            <w:cnfStyle w:val="001000000000" w:firstRow="0" w:lastRow="0" w:firstColumn="1" w:lastColumn="0" w:oddVBand="0" w:evenVBand="0" w:oddHBand="0" w:evenHBand="0" w:firstRowFirstColumn="0" w:firstRowLastColumn="0" w:lastRowFirstColumn="0" w:lastRowLastColumn="0"/>
            <w:tcW w:w="9000" w:type="dxa"/>
            <w:gridSpan w:val="2"/>
            <w:vAlign w:val="center"/>
          </w:tcPr>
          <w:p w14:paraId="01719B70" w14:textId="77777777" w:rsidR="00333DC2" w:rsidRPr="00584975" w:rsidRDefault="00333DC2" w:rsidP="0091766F">
            <w:pPr>
              <w:jc w:val="center"/>
              <w:rPr>
                <w:rFonts w:ascii="Cambria" w:hAnsi="Cambria" w:cs="Aharoni"/>
                <w:sz w:val="44"/>
              </w:rPr>
            </w:pPr>
            <w:r>
              <w:rPr>
                <w:rFonts w:ascii="Cambria" w:hAnsi="Cambria" w:cs="Aharoni"/>
                <w:sz w:val="52"/>
              </w:rPr>
              <w:t>Student Details</w:t>
            </w:r>
          </w:p>
        </w:tc>
      </w:tr>
      <w:tr w:rsidR="00333DC2" w14:paraId="129030B0" w14:textId="77777777" w:rsidTr="009644F3">
        <w:trPr>
          <w:cnfStyle w:val="000000100000" w:firstRow="0" w:lastRow="0" w:firstColumn="0" w:lastColumn="0" w:oddVBand="0" w:evenVBand="0" w:oddHBand="1" w:evenHBand="0" w:firstRowFirstColumn="0" w:firstRowLastColumn="0" w:lastRowFirstColumn="0" w:lastRowLastColumn="0"/>
          <w:trHeight w:val="971"/>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CC730EF" w14:textId="77777777" w:rsidR="00333DC2" w:rsidRPr="00584975" w:rsidRDefault="00333DC2" w:rsidP="0091766F">
            <w:pPr>
              <w:jc w:val="center"/>
              <w:rPr>
                <w:rFonts w:ascii="Cambria" w:hAnsi="Cambria"/>
                <w:b w:val="0"/>
                <w:sz w:val="52"/>
              </w:rPr>
            </w:pPr>
            <w:r>
              <w:rPr>
                <w:rFonts w:ascii="Cambria" w:hAnsi="Cambria"/>
                <w:b w:val="0"/>
                <w:sz w:val="52"/>
              </w:rPr>
              <w:t>Name</w:t>
            </w:r>
          </w:p>
        </w:tc>
        <w:tc>
          <w:tcPr>
            <w:tcW w:w="5760" w:type="dxa"/>
            <w:vAlign w:val="center"/>
          </w:tcPr>
          <w:p w14:paraId="00AD472D" w14:textId="77777777" w:rsidR="00333DC2" w:rsidRPr="00584975" w:rsidRDefault="00333DC2" w:rsidP="0091766F">
            <w:pPr>
              <w:jc w:val="center"/>
              <w:cnfStyle w:val="000000100000" w:firstRow="0" w:lastRow="0" w:firstColumn="0" w:lastColumn="0" w:oddVBand="0" w:evenVBand="0" w:oddHBand="1" w:evenHBand="0" w:firstRowFirstColumn="0" w:firstRowLastColumn="0" w:lastRowFirstColumn="0" w:lastRowLastColumn="0"/>
              <w:rPr>
                <w:rFonts w:ascii="Cambria" w:hAnsi="Cambria"/>
                <w:sz w:val="52"/>
              </w:rPr>
            </w:pPr>
            <w:r>
              <w:rPr>
                <w:rFonts w:ascii="Cambria" w:hAnsi="Cambria"/>
                <w:sz w:val="52"/>
              </w:rPr>
              <w:t>Bilal Ahmad</w:t>
            </w:r>
          </w:p>
        </w:tc>
      </w:tr>
      <w:tr w:rsidR="00333DC2" w14:paraId="53DABF0F" w14:textId="77777777" w:rsidTr="009644F3">
        <w:trPr>
          <w:trHeight w:val="890"/>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0A89147" w14:textId="77777777" w:rsidR="00333DC2" w:rsidRPr="00584975" w:rsidRDefault="00333DC2" w:rsidP="0091766F">
            <w:pPr>
              <w:jc w:val="center"/>
              <w:rPr>
                <w:rFonts w:ascii="Cambria" w:hAnsi="Cambria"/>
                <w:b w:val="0"/>
                <w:sz w:val="52"/>
              </w:rPr>
            </w:pPr>
            <w:r>
              <w:rPr>
                <w:rFonts w:ascii="Cambria" w:hAnsi="Cambria"/>
                <w:b w:val="0"/>
                <w:sz w:val="52"/>
              </w:rPr>
              <w:t>Reg No.</w:t>
            </w:r>
          </w:p>
        </w:tc>
        <w:tc>
          <w:tcPr>
            <w:tcW w:w="5760" w:type="dxa"/>
            <w:vAlign w:val="center"/>
          </w:tcPr>
          <w:p w14:paraId="1DDA1EC2" w14:textId="77777777" w:rsidR="00333DC2" w:rsidRPr="00584975" w:rsidRDefault="00333DC2" w:rsidP="0091766F">
            <w:pPr>
              <w:jc w:val="center"/>
              <w:cnfStyle w:val="000000000000" w:firstRow="0" w:lastRow="0" w:firstColumn="0" w:lastColumn="0" w:oddVBand="0" w:evenVBand="0" w:oddHBand="0" w:evenHBand="0" w:firstRowFirstColumn="0" w:firstRowLastColumn="0" w:lastRowFirstColumn="0" w:lastRowLastColumn="0"/>
              <w:rPr>
                <w:rFonts w:ascii="Cambria" w:hAnsi="Cambria"/>
                <w:sz w:val="52"/>
              </w:rPr>
            </w:pPr>
            <w:r w:rsidRPr="00584975">
              <w:rPr>
                <w:rFonts w:ascii="Cambria" w:hAnsi="Cambria"/>
                <w:sz w:val="52"/>
              </w:rPr>
              <w:t>FA19-BCS-136</w:t>
            </w:r>
          </w:p>
        </w:tc>
      </w:tr>
      <w:tr w:rsidR="00333DC2" w14:paraId="42E91B12" w14:textId="77777777" w:rsidTr="009644F3">
        <w:trPr>
          <w:cnfStyle w:val="000000100000" w:firstRow="0" w:lastRow="0" w:firstColumn="0" w:lastColumn="0" w:oddVBand="0" w:evenVBand="0" w:oddHBand="1" w:evenHBand="0" w:firstRowFirstColumn="0" w:firstRowLastColumn="0" w:lastRowFirstColumn="0" w:lastRowLastColumn="0"/>
          <w:trHeight w:val="899"/>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9E08057" w14:textId="77777777" w:rsidR="00333DC2" w:rsidRPr="00584975" w:rsidRDefault="00333DC2" w:rsidP="0091766F">
            <w:pPr>
              <w:jc w:val="center"/>
              <w:rPr>
                <w:rFonts w:ascii="Cambria" w:hAnsi="Cambria"/>
                <w:b w:val="0"/>
                <w:sz w:val="52"/>
              </w:rPr>
            </w:pPr>
            <w:r>
              <w:rPr>
                <w:rFonts w:ascii="Cambria" w:hAnsi="Cambria"/>
                <w:b w:val="0"/>
                <w:sz w:val="52"/>
              </w:rPr>
              <w:t>Section</w:t>
            </w:r>
          </w:p>
        </w:tc>
        <w:tc>
          <w:tcPr>
            <w:tcW w:w="5760" w:type="dxa"/>
            <w:vAlign w:val="center"/>
          </w:tcPr>
          <w:p w14:paraId="04A82D93" w14:textId="77777777" w:rsidR="00333DC2" w:rsidRPr="00584975" w:rsidRDefault="00333DC2" w:rsidP="0091766F">
            <w:pPr>
              <w:jc w:val="center"/>
              <w:cnfStyle w:val="000000100000" w:firstRow="0" w:lastRow="0" w:firstColumn="0" w:lastColumn="0" w:oddVBand="0" w:evenVBand="0" w:oddHBand="1" w:evenHBand="0" w:firstRowFirstColumn="0" w:firstRowLastColumn="0" w:lastRowFirstColumn="0" w:lastRowLastColumn="0"/>
              <w:rPr>
                <w:rFonts w:ascii="Cambria" w:hAnsi="Cambria"/>
                <w:sz w:val="52"/>
              </w:rPr>
            </w:pPr>
            <w:r>
              <w:rPr>
                <w:rFonts w:ascii="Cambria" w:hAnsi="Cambria"/>
                <w:sz w:val="52"/>
              </w:rPr>
              <w:t>C</w:t>
            </w:r>
          </w:p>
        </w:tc>
      </w:tr>
      <w:tr w:rsidR="00333DC2" w14:paraId="67537A75" w14:textId="77777777" w:rsidTr="009644F3">
        <w:trPr>
          <w:trHeight w:val="818"/>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3C06400" w14:textId="77777777" w:rsidR="00333DC2" w:rsidRPr="00584975" w:rsidRDefault="00333DC2" w:rsidP="0091766F">
            <w:pPr>
              <w:jc w:val="center"/>
              <w:rPr>
                <w:rFonts w:ascii="Cambria" w:hAnsi="Cambria"/>
                <w:b w:val="0"/>
                <w:sz w:val="52"/>
              </w:rPr>
            </w:pPr>
            <w:r>
              <w:rPr>
                <w:rFonts w:ascii="Cambria" w:hAnsi="Cambria"/>
                <w:b w:val="0"/>
                <w:sz w:val="52"/>
              </w:rPr>
              <w:t>Date</w:t>
            </w:r>
          </w:p>
        </w:tc>
        <w:tc>
          <w:tcPr>
            <w:tcW w:w="5760" w:type="dxa"/>
            <w:vAlign w:val="center"/>
          </w:tcPr>
          <w:p w14:paraId="06C8FB0B" w14:textId="45848637" w:rsidR="00333DC2" w:rsidRPr="00584975" w:rsidRDefault="00333DC2" w:rsidP="0091766F">
            <w:pPr>
              <w:jc w:val="center"/>
              <w:cnfStyle w:val="000000000000" w:firstRow="0" w:lastRow="0" w:firstColumn="0" w:lastColumn="0" w:oddVBand="0" w:evenVBand="0" w:oddHBand="0" w:evenHBand="0" w:firstRowFirstColumn="0" w:firstRowLastColumn="0" w:lastRowFirstColumn="0" w:lastRowLastColumn="0"/>
              <w:rPr>
                <w:rFonts w:ascii="Cambria" w:hAnsi="Cambria"/>
                <w:sz w:val="52"/>
              </w:rPr>
            </w:pPr>
            <w:r>
              <w:rPr>
                <w:rFonts w:ascii="Cambria" w:hAnsi="Cambria"/>
                <w:sz w:val="52"/>
              </w:rPr>
              <w:t>2</w:t>
            </w:r>
            <w:r>
              <w:rPr>
                <w:rFonts w:ascii="Cambria" w:hAnsi="Cambria"/>
                <w:sz w:val="52"/>
              </w:rPr>
              <w:t>6</w:t>
            </w:r>
            <w:r>
              <w:rPr>
                <w:rFonts w:ascii="Cambria" w:hAnsi="Cambria"/>
                <w:sz w:val="52"/>
              </w:rPr>
              <w:t>/0</w:t>
            </w:r>
            <w:r>
              <w:rPr>
                <w:rFonts w:ascii="Cambria" w:hAnsi="Cambria"/>
                <w:sz w:val="52"/>
              </w:rPr>
              <w:t>5</w:t>
            </w:r>
            <w:r>
              <w:rPr>
                <w:rFonts w:ascii="Cambria" w:hAnsi="Cambria"/>
                <w:sz w:val="52"/>
              </w:rPr>
              <w:t>/202</w:t>
            </w:r>
            <w:r>
              <w:rPr>
                <w:rFonts w:ascii="Cambria" w:hAnsi="Cambria"/>
                <w:sz w:val="52"/>
              </w:rPr>
              <w:t>3</w:t>
            </w:r>
          </w:p>
        </w:tc>
      </w:tr>
    </w:tbl>
    <w:p w14:paraId="6EA1B285" w14:textId="77777777" w:rsidR="00D830F5" w:rsidRDefault="00D830F5"/>
    <w:p w14:paraId="12E60046" w14:textId="77777777" w:rsidR="001237C4" w:rsidRDefault="001237C4"/>
    <w:p w14:paraId="0A884C7B" w14:textId="7DDA80EB" w:rsidR="001237C4" w:rsidRDefault="001237C4" w:rsidP="001237C4">
      <w:pPr>
        <w:jc w:val="center"/>
        <w:rPr>
          <w:rFonts w:ascii="Times New Roman" w:hAnsi="Times New Roman" w:cs="Times New Roman"/>
          <w:b/>
          <w:bCs/>
          <w:sz w:val="48"/>
          <w:szCs w:val="48"/>
        </w:rPr>
      </w:pPr>
      <w:r w:rsidRPr="001237C4">
        <w:rPr>
          <w:rFonts w:ascii="Times New Roman" w:hAnsi="Times New Roman" w:cs="Times New Roman"/>
          <w:b/>
          <w:bCs/>
          <w:sz w:val="48"/>
          <w:szCs w:val="48"/>
        </w:rPr>
        <w:lastRenderedPageBreak/>
        <w:t>Decentralized Exchange</w:t>
      </w:r>
    </w:p>
    <w:p w14:paraId="441CE67A" w14:textId="77777777" w:rsidR="00BB0F1A" w:rsidRDefault="00BB0F1A" w:rsidP="001237C4">
      <w:pPr>
        <w:jc w:val="center"/>
        <w:rPr>
          <w:rFonts w:ascii="Times New Roman" w:hAnsi="Times New Roman" w:cs="Times New Roman"/>
          <w:b/>
          <w:bCs/>
          <w:sz w:val="24"/>
          <w:szCs w:val="24"/>
        </w:rPr>
      </w:pPr>
    </w:p>
    <w:p w14:paraId="7C26E682" w14:textId="7DB8A9C2" w:rsidR="00BB0F1A" w:rsidRDefault="00BB0F1A" w:rsidP="001237C4">
      <w:pPr>
        <w:jc w:val="center"/>
        <w:rPr>
          <w:rFonts w:cstheme="minorHAnsi"/>
          <w:b/>
          <w:bCs/>
          <w:sz w:val="36"/>
          <w:szCs w:val="36"/>
          <w:u w:val="single"/>
        </w:rPr>
      </w:pPr>
      <w:r w:rsidRPr="00415388">
        <w:rPr>
          <w:rFonts w:cstheme="minorHAnsi"/>
          <w:b/>
          <w:bCs/>
          <w:sz w:val="36"/>
          <w:szCs w:val="36"/>
          <w:u w:val="single"/>
        </w:rPr>
        <w:t>Risk</w:t>
      </w:r>
      <w:r w:rsidR="00354E3D">
        <w:rPr>
          <w:rFonts w:cstheme="minorHAnsi"/>
          <w:b/>
          <w:bCs/>
          <w:sz w:val="36"/>
          <w:szCs w:val="36"/>
          <w:u w:val="single"/>
        </w:rPr>
        <w:t xml:space="preserve"> Types</w:t>
      </w:r>
    </w:p>
    <w:p w14:paraId="594B7AD4" w14:textId="77777777" w:rsidR="00C62613" w:rsidRPr="00C62613" w:rsidRDefault="00C62613" w:rsidP="001237C4">
      <w:pPr>
        <w:jc w:val="center"/>
        <w:rPr>
          <w:rFonts w:cstheme="minorHAnsi"/>
          <w:b/>
          <w:bCs/>
          <w:sz w:val="24"/>
          <w:szCs w:val="24"/>
          <w:u w:val="single"/>
        </w:rPr>
      </w:pPr>
    </w:p>
    <w:p w14:paraId="3F902B90" w14:textId="77777777" w:rsidR="00E70402" w:rsidRPr="00415388" w:rsidRDefault="00BB0F1A" w:rsidP="00BB0F1A">
      <w:pPr>
        <w:rPr>
          <w:rFonts w:ascii="Times New Roman" w:hAnsi="Times New Roman" w:cs="Times New Roman"/>
          <w:b/>
          <w:bCs/>
          <w:sz w:val="28"/>
          <w:szCs w:val="28"/>
          <w:lang w:val="en-PK"/>
        </w:rPr>
      </w:pPr>
      <w:r w:rsidRPr="00415388">
        <w:rPr>
          <w:rFonts w:ascii="Times New Roman" w:hAnsi="Times New Roman" w:cs="Times New Roman"/>
          <w:b/>
          <w:bCs/>
          <w:sz w:val="28"/>
          <w:szCs w:val="28"/>
          <w:lang w:val="en-PK"/>
        </w:rPr>
        <w:t xml:space="preserve">Project Risk: </w:t>
      </w:r>
    </w:p>
    <w:p w14:paraId="253791C4" w14:textId="58C9A49B" w:rsidR="00BB0F1A" w:rsidRPr="00BB0F1A" w:rsidRDefault="00BB0F1A" w:rsidP="00BB0F1A">
      <w:pPr>
        <w:rPr>
          <w:rFonts w:ascii="Times New Roman" w:hAnsi="Times New Roman" w:cs="Times New Roman"/>
          <w:sz w:val="24"/>
          <w:szCs w:val="24"/>
          <w:lang w:val="en-PK"/>
        </w:rPr>
      </w:pPr>
      <w:r w:rsidRPr="00BB0F1A">
        <w:rPr>
          <w:rFonts w:ascii="Times New Roman" w:hAnsi="Times New Roman" w:cs="Times New Roman"/>
          <w:sz w:val="24"/>
          <w:szCs w:val="24"/>
          <w:lang w:val="en-PK"/>
        </w:rPr>
        <w:t>Delays in the development process can occur due to various factors such as technical challenges, inadequate resources, or unforeseen complications. This may result in missed deadlines and extended timeframes.</w:t>
      </w:r>
    </w:p>
    <w:p w14:paraId="5FDFD196" w14:textId="080C3E96" w:rsidR="00BB0F1A" w:rsidRPr="00BB0F1A" w:rsidRDefault="00BB0F1A" w:rsidP="00BB0F1A">
      <w:pPr>
        <w:rPr>
          <w:rFonts w:ascii="Times New Roman" w:hAnsi="Times New Roman" w:cs="Times New Roman"/>
          <w:sz w:val="24"/>
          <w:szCs w:val="24"/>
          <w:lang w:val="en-PK"/>
        </w:rPr>
      </w:pPr>
      <w:r w:rsidRPr="00BB0F1A">
        <w:rPr>
          <w:rFonts w:ascii="Times New Roman" w:hAnsi="Times New Roman" w:cs="Times New Roman"/>
          <w:sz w:val="24"/>
          <w:szCs w:val="24"/>
          <w:lang w:val="en-PK"/>
        </w:rPr>
        <w:t>The project's scope may expand beyond the initial plan, leading to additional development requirements and increased complexity. This can impact the project timeline and overall success.</w:t>
      </w:r>
    </w:p>
    <w:p w14:paraId="287848FA" w14:textId="64818940" w:rsidR="00BB0F1A" w:rsidRPr="00BB0F1A" w:rsidRDefault="00BB0F1A" w:rsidP="00BB0F1A">
      <w:pPr>
        <w:rPr>
          <w:rFonts w:ascii="Times New Roman" w:hAnsi="Times New Roman" w:cs="Times New Roman"/>
          <w:sz w:val="24"/>
          <w:szCs w:val="24"/>
          <w:lang w:val="en-PK"/>
        </w:rPr>
      </w:pPr>
      <w:r w:rsidRPr="00BB0F1A">
        <w:rPr>
          <w:rFonts w:ascii="Times New Roman" w:hAnsi="Times New Roman" w:cs="Times New Roman"/>
          <w:sz w:val="24"/>
          <w:szCs w:val="24"/>
          <w:lang w:val="en-PK"/>
        </w:rPr>
        <w:t xml:space="preserve">DEX apps often operate in a regulatory </w:t>
      </w:r>
      <w:r w:rsidR="00354E3D" w:rsidRPr="00BB0F1A">
        <w:rPr>
          <w:rFonts w:ascii="Times New Roman" w:hAnsi="Times New Roman" w:cs="Times New Roman"/>
          <w:sz w:val="24"/>
          <w:szCs w:val="24"/>
          <w:lang w:val="en-PK"/>
        </w:rPr>
        <w:t>grey</w:t>
      </w:r>
      <w:r w:rsidRPr="00BB0F1A">
        <w:rPr>
          <w:rFonts w:ascii="Times New Roman" w:hAnsi="Times New Roman" w:cs="Times New Roman"/>
          <w:sz w:val="24"/>
          <w:szCs w:val="24"/>
          <w:lang w:val="en-PK"/>
        </w:rPr>
        <w:t xml:space="preserve"> area, and there may be legal and compliance risks associated with offering certain functionalities or operating in specific jurisdictions. It's important to navigate and address these risks appropriately.</w:t>
      </w:r>
    </w:p>
    <w:p w14:paraId="28B2DFE3" w14:textId="77777777" w:rsidR="00731F22" w:rsidRPr="00731F22" w:rsidRDefault="00BB0F1A" w:rsidP="00BB0F1A">
      <w:pPr>
        <w:rPr>
          <w:rFonts w:ascii="Times New Roman" w:hAnsi="Times New Roman" w:cs="Times New Roman"/>
          <w:b/>
          <w:bCs/>
          <w:sz w:val="28"/>
          <w:szCs w:val="28"/>
          <w:lang w:val="en-PK"/>
        </w:rPr>
      </w:pPr>
      <w:r w:rsidRPr="00731F22">
        <w:rPr>
          <w:rFonts w:ascii="Times New Roman" w:hAnsi="Times New Roman" w:cs="Times New Roman"/>
          <w:b/>
          <w:bCs/>
          <w:sz w:val="28"/>
          <w:szCs w:val="28"/>
          <w:lang w:val="en-PK"/>
        </w:rPr>
        <w:t xml:space="preserve">Technical Risk: </w:t>
      </w:r>
    </w:p>
    <w:p w14:paraId="3BF4CA76" w14:textId="20928BD7" w:rsidR="00BB0F1A" w:rsidRPr="00BB0F1A" w:rsidRDefault="00BB0F1A" w:rsidP="00BB0F1A">
      <w:pPr>
        <w:rPr>
          <w:rFonts w:ascii="Times New Roman" w:hAnsi="Times New Roman" w:cs="Times New Roman"/>
          <w:sz w:val="24"/>
          <w:szCs w:val="24"/>
          <w:lang w:val="en-PK"/>
        </w:rPr>
      </w:pPr>
      <w:r w:rsidRPr="00BB0F1A">
        <w:rPr>
          <w:rFonts w:ascii="Times New Roman" w:hAnsi="Times New Roman" w:cs="Times New Roman"/>
          <w:sz w:val="24"/>
          <w:szCs w:val="24"/>
          <w:lang w:val="en-PK"/>
        </w:rPr>
        <w:t>Smart contracts powering the DEX app can be susceptible to bugs, security vulnerabilities, or exploits. This can lead to potential losses or unauthorized access to funds.</w:t>
      </w:r>
    </w:p>
    <w:p w14:paraId="3907DEF1" w14:textId="310B8149" w:rsidR="00BB0F1A" w:rsidRPr="00BB0F1A" w:rsidRDefault="00BB0F1A" w:rsidP="00BB0F1A">
      <w:pPr>
        <w:rPr>
          <w:rFonts w:ascii="Times New Roman" w:hAnsi="Times New Roman" w:cs="Times New Roman"/>
          <w:sz w:val="24"/>
          <w:szCs w:val="24"/>
          <w:lang w:val="en-PK"/>
        </w:rPr>
      </w:pPr>
      <w:r w:rsidRPr="00BB0F1A">
        <w:rPr>
          <w:rFonts w:ascii="Times New Roman" w:hAnsi="Times New Roman" w:cs="Times New Roman"/>
          <w:sz w:val="24"/>
          <w:szCs w:val="24"/>
          <w:lang w:val="en-PK"/>
        </w:rPr>
        <w:t>Decentralized exchanges rely on blockchain networks for transactions and liquidity. High network congestion or scalability limitations may result in slow transaction times, high fees, or an inefficient user experience.</w:t>
      </w:r>
    </w:p>
    <w:p w14:paraId="7E00A7BA" w14:textId="216BA09E" w:rsidR="00BB0F1A" w:rsidRPr="00BB0F1A" w:rsidRDefault="00BB0F1A" w:rsidP="00BB0F1A">
      <w:pPr>
        <w:rPr>
          <w:rFonts w:ascii="Times New Roman" w:hAnsi="Times New Roman" w:cs="Times New Roman"/>
          <w:sz w:val="24"/>
          <w:szCs w:val="24"/>
          <w:lang w:val="en-PK"/>
        </w:rPr>
      </w:pPr>
      <w:r w:rsidRPr="00BB0F1A">
        <w:rPr>
          <w:rFonts w:ascii="Times New Roman" w:hAnsi="Times New Roman" w:cs="Times New Roman"/>
          <w:sz w:val="24"/>
          <w:szCs w:val="24"/>
          <w:lang w:val="en-PK"/>
        </w:rPr>
        <w:t>DEX apps often rely on oracles to fetch external data for accurate token prices or other information. Issues with oracle reliability, manipulation, or inaccuracies can impact trading and user trust.</w:t>
      </w:r>
    </w:p>
    <w:p w14:paraId="169DDE84" w14:textId="77777777" w:rsidR="00B12CD9" w:rsidRPr="00B12CD9" w:rsidRDefault="00BB0F1A" w:rsidP="00BB0F1A">
      <w:pPr>
        <w:rPr>
          <w:rFonts w:ascii="Times New Roman" w:hAnsi="Times New Roman" w:cs="Times New Roman"/>
          <w:b/>
          <w:bCs/>
          <w:sz w:val="28"/>
          <w:szCs w:val="28"/>
          <w:lang w:val="en-PK"/>
        </w:rPr>
      </w:pPr>
      <w:r w:rsidRPr="00B12CD9">
        <w:rPr>
          <w:rFonts w:ascii="Times New Roman" w:hAnsi="Times New Roman" w:cs="Times New Roman"/>
          <w:b/>
          <w:bCs/>
          <w:sz w:val="28"/>
          <w:szCs w:val="28"/>
          <w:lang w:val="en-PK"/>
        </w:rPr>
        <w:t xml:space="preserve">Business Risk: </w:t>
      </w:r>
    </w:p>
    <w:p w14:paraId="0C14094E" w14:textId="4ABCBD47" w:rsidR="00BB0F1A" w:rsidRPr="00BB0F1A" w:rsidRDefault="00BB0F1A" w:rsidP="00BB0F1A">
      <w:pPr>
        <w:rPr>
          <w:rFonts w:ascii="Times New Roman" w:hAnsi="Times New Roman" w:cs="Times New Roman"/>
          <w:sz w:val="24"/>
          <w:szCs w:val="24"/>
          <w:lang w:val="en-PK"/>
        </w:rPr>
      </w:pPr>
      <w:r w:rsidRPr="00BB0F1A">
        <w:rPr>
          <w:rFonts w:ascii="Times New Roman" w:hAnsi="Times New Roman" w:cs="Times New Roman"/>
          <w:sz w:val="24"/>
          <w:szCs w:val="24"/>
          <w:lang w:val="en-PK"/>
        </w:rPr>
        <w:t>The decentralized exchange space is highly competitive, with numerous platforms vying for user adoption and liquidity. Standing out and attracting users amidst this competition can be challenging.</w:t>
      </w:r>
    </w:p>
    <w:p w14:paraId="77B5AA9B" w14:textId="45B62702" w:rsidR="00BB0F1A" w:rsidRPr="00BB0F1A" w:rsidRDefault="00BB0F1A" w:rsidP="00BB0F1A">
      <w:pPr>
        <w:rPr>
          <w:rFonts w:ascii="Times New Roman" w:hAnsi="Times New Roman" w:cs="Times New Roman"/>
          <w:sz w:val="24"/>
          <w:szCs w:val="24"/>
          <w:lang w:val="en-PK"/>
        </w:rPr>
      </w:pPr>
      <w:r w:rsidRPr="00BB0F1A">
        <w:rPr>
          <w:rFonts w:ascii="Times New Roman" w:hAnsi="Times New Roman" w:cs="Times New Roman"/>
          <w:sz w:val="24"/>
          <w:szCs w:val="24"/>
          <w:lang w:val="en-PK"/>
        </w:rPr>
        <w:t>Liquidity is crucial for the success of a DEX. If the app fails to attract sufficient liquidity providers and traders, it may struggle to offer competitive trading opportunities and attract users.</w:t>
      </w:r>
    </w:p>
    <w:p w14:paraId="68127AA7" w14:textId="3FB3FE0B" w:rsidR="00354E3D" w:rsidRPr="00C62613" w:rsidRDefault="00BB0F1A" w:rsidP="00C62613">
      <w:pPr>
        <w:rPr>
          <w:rFonts w:ascii="Times New Roman" w:hAnsi="Times New Roman" w:cs="Times New Roman"/>
          <w:sz w:val="24"/>
          <w:szCs w:val="24"/>
          <w:lang w:val="en-PK"/>
        </w:rPr>
      </w:pPr>
      <w:r w:rsidRPr="00BB0F1A">
        <w:rPr>
          <w:rFonts w:ascii="Times New Roman" w:hAnsi="Times New Roman" w:cs="Times New Roman"/>
          <w:sz w:val="24"/>
          <w:szCs w:val="24"/>
          <w:lang w:val="en-PK"/>
        </w:rPr>
        <w:t>The regulatory landscape surrounding cryptocurrencies, blockchain, and decentralized finance (DeFi) is evolving. Compliance requirements and regulatory actions can impact the operation and availability of the DEX app.</w:t>
      </w:r>
    </w:p>
    <w:p w14:paraId="371EF118" w14:textId="77777777" w:rsidR="005C3975" w:rsidRDefault="005C3975" w:rsidP="00354E3D">
      <w:pPr>
        <w:jc w:val="center"/>
        <w:rPr>
          <w:rFonts w:cstheme="minorHAnsi"/>
          <w:b/>
          <w:bCs/>
          <w:sz w:val="36"/>
          <w:szCs w:val="36"/>
          <w:u w:val="single"/>
        </w:rPr>
      </w:pPr>
    </w:p>
    <w:p w14:paraId="211712D2" w14:textId="02DB6E31" w:rsidR="00354E3D" w:rsidRDefault="00354E3D" w:rsidP="00354E3D">
      <w:pPr>
        <w:jc w:val="center"/>
        <w:rPr>
          <w:rFonts w:cstheme="minorHAnsi"/>
          <w:b/>
          <w:bCs/>
          <w:sz w:val="36"/>
          <w:szCs w:val="36"/>
          <w:u w:val="single"/>
        </w:rPr>
      </w:pPr>
      <w:r w:rsidRPr="00354E3D">
        <w:rPr>
          <w:rFonts w:cstheme="minorHAnsi"/>
          <w:b/>
          <w:bCs/>
          <w:sz w:val="36"/>
          <w:szCs w:val="36"/>
          <w:u w:val="single"/>
        </w:rPr>
        <w:lastRenderedPageBreak/>
        <w:t>Risk C</w:t>
      </w:r>
      <w:r w:rsidRPr="00354E3D">
        <w:rPr>
          <w:rFonts w:cstheme="minorHAnsi"/>
          <w:b/>
          <w:bCs/>
          <w:sz w:val="36"/>
          <w:szCs w:val="36"/>
          <w:u w:val="single"/>
        </w:rPr>
        <w:t>ategories</w:t>
      </w:r>
    </w:p>
    <w:p w14:paraId="0ECEF326" w14:textId="77777777" w:rsidR="00AF1A07" w:rsidRPr="005B3D51" w:rsidRDefault="00AF1A07" w:rsidP="00354E3D">
      <w:pPr>
        <w:jc w:val="center"/>
        <w:rPr>
          <w:rFonts w:cstheme="minorHAnsi"/>
          <w:b/>
          <w:bCs/>
          <w:sz w:val="24"/>
          <w:szCs w:val="24"/>
          <w:u w:val="single"/>
        </w:rPr>
      </w:pPr>
    </w:p>
    <w:p w14:paraId="1A62C094" w14:textId="77777777" w:rsidR="00A67FBB" w:rsidRDefault="00354E3D" w:rsidP="00A67FBB">
      <w:pPr>
        <w:rPr>
          <w:rFonts w:ascii="Times New Roman" w:hAnsi="Times New Roman" w:cs="Times New Roman"/>
          <w:sz w:val="24"/>
          <w:szCs w:val="24"/>
          <w:lang w:val="en-PK"/>
        </w:rPr>
      </w:pPr>
      <w:r w:rsidRPr="00354E3D">
        <w:rPr>
          <w:rFonts w:ascii="Times New Roman" w:hAnsi="Times New Roman" w:cs="Times New Roman"/>
          <w:b/>
          <w:bCs/>
          <w:sz w:val="28"/>
          <w:szCs w:val="28"/>
          <w:lang w:val="en-PK"/>
        </w:rPr>
        <w:t>Performance Risks:</w:t>
      </w:r>
      <w:r w:rsidRPr="00354E3D">
        <w:rPr>
          <w:rFonts w:ascii="Times New Roman" w:hAnsi="Times New Roman" w:cs="Times New Roman"/>
          <w:sz w:val="24"/>
          <w:szCs w:val="24"/>
          <w:lang w:val="en-PK"/>
        </w:rPr>
        <w:t xml:space="preserve"> </w:t>
      </w:r>
    </w:p>
    <w:p w14:paraId="64FBEB65" w14:textId="386591EA" w:rsidR="00F66A05" w:rsidRDefault="00F66A05" w:rsidP="008F3C1D">
      <w:pPr>
        <w:rPr>
          <w:rFonts w:ascii="Times New Roman" w:hAnsi="Times New Roman" w:cs="Times New Roman"/>
          <w:sz w:val="24"/>
          <w:szCs w:val="24"/>
          <w:lang w:val="en-PK"/>
        </w:rPr>
      </w:pPr>
      <w:r w:rsidRPr="00354E3D">
        <w:rPr>
          <w:rFonts w:ascii="Times New Roman" w:hAnsi="Times New Roman" w:cs="Times New Roman"/>
          <w:sz w:val="24"/>
          <w:szCs w:val="24"/>
          <w:lang w:val="en-PK"/>
        </w:rPr>
        <w:t>The DEX app's responsiveness and transaction confirmation time should meet user expectations. Excessive latency can frustrate users and lead to a poor user experience.</w:t>
      </w:r>
    </w:p>
    <w:p w14:paraId="5B5E294A" w14:textId="57E10188" w:rsidR="00354E3D" w:rsidRPr="00354E3D" w:rsidRDefault="00354E3D" w:rsidP="008F3C1D">
      <w:pPr>
        <w:rPr>
          <w:rFonts w:ascii="Times New Roman" w:hAnsi="Times New Roman" w:cs="Times New Roman"/>
          <w:sz w:val="24"/>
          <w:szCs w:val="24"/>
          <w:lang w:val="en-PK"/>
        </w:rPr>
      </w:pPr>
      <w:r w:rsidRPr="00354E3D">
        <w:rPr>
          <w:rFonts w:ascii="Times New Roman" w:hAnsi="Times New Roman" w:cs="Times New Roman"/>
          <w:sz w:val="24"/>
          <w:szCs w:val="24"/>
          <w:lang w:val="en-PK"/>
        </w:rPr>
        <w:t>DEX app should be able to handle the load efficiently without degradation in performance. Failure to scale appropriately can result in slow transaction processing or system downtime.</w:t>
      </w:r>
    </w:p>
    <w:p w14:paraId="5C206FA3" w14:textId="0944C490" w:rsidR="00354E3D" w:rsidRPr="00354E3D" w:rsidRDefault="00354E3D" w:rsidP="008F3C1D">
      <w:pPr>
        <w:rPr>
          <w:rFonts w:ascii="Times New Roman" w:hAnsi="Times New Roman" w:cs="Times New Roman"/>
          <w:sz w:val="24"/>
          <w:szCs w:val="24"/>
          <w:lang w:val="en-PK"/>
        </w:rPr>
      </w:pPr>
      <w:r w:rsidRPr="00354E3D">
        <w:rPr>
          <w:rFonts w:ascii="Times New Roman" w:hAnsi="Times New Roman" w:cs="Times New Roman"/>
          <w:sz w:val="24"/>
          <w:szCs w:val="24"/>
          <w:lang w:val="en-PK"/>
        </w:rPr>
        <w:t>The DEX app should be secure and reliable, ensuring that user funds and sensitive information are protected. Any vulnerabilities or system failures can result in financial losses.</w:t>
      </w:r>
    </w:p>
    <w:p w14:paraId="124B8D2D" w14:textId="77777777" w:rsidR="00A67FBB" w:rsidRPr="00A67FBB" w:rsidRDefault="00354E3D" w:rsidP="00A67FBB">
      <w:pPr>
        <w:rPr>
          <w:rFonts w:ascii="Times New Roman" w:hAnsi="Times New Roman" w:cs="Times New Roman"/>
          <w:b/>
          <w:bCs/>
          <w:sz w:val="28"/>
          <w:szCs w:val="28"/>
          <w:lang w:val="en-PK"/>
        </w:rPr>
      </w:pPr>
      <w:r w:rsidRPr="00354E3D">
        <w:rPr>
          <w:rFonts w:ascii="Times New Roman" w:hAnsi="Times New Roman" w:cs="Times New Roman"/>
          <w:b/>
          <w:bCs/>
          <w:sz w:val="28"/>
          <w:szCs w:val="28"/>
          <w:lang w:val="en-PK"/>
        </w:rPr>
        <w:t xml:space="preserve">Cost Risks: </w:t>
      </w:r>
    </w:p>
    <w:p w14:paraId="1D2867BD" w14:textId="0200F236" w:rsidR="00354E3D" w:rsidRPr="00354E3D" w:rsidRDefault="00354E3D" w:rsidP="008F3C1D">
      <w:pPr>
        <w:rPr>
          <w:rFonts w:ascii="Times New Roman" w:hAnsi="Times New Roman" w:cs="Times New Roman"/>
          <w:sz w:val="24"/>
          <w:szCs w:val="24"/>
          <w:lang w:val="en-PK"/>
        </w:rPr>
      </w:pPr>
      <w:r w:rsidRPr="00354E3D">
        <w:rPr>
          <w:rFonts w:ascii="Times New Roman" w:hAnsi="Times New Roman" w:cs="Times New Roman"/>
          <w:sz w:val="24"/>
          <w:szCs w:val="24"/>
          <w:lang w:val="en-PK"/>
        </w:rPr>
        <w:t>The costs associated with developing the DEX app can vary depending on factors such as the complexity of the features, the technology stack used, and the expertise of the development team. Underestimating development costs can strain the project budget.</w:t>
      </w:r>
    </w:p>
    <w:p w14:paraId="32206F0A" w14:textId="7958B11E" w:rsidR="00354E3D" w:rsidRPr="00354E3D" w:rsidRDefault="00354E3D" w:rsidP="008F3C1D">
      <w:pPr>
        <w:rPr>
          <w:rFonts w:ascii="Times New Roman" w:hAnsi="Times New Roman" w:cs="Times New Roman"/>
          <w:sz w:val="24"/>
          <w:szCs w:val="24"/>
          <w:lang w:val="en-PK"/>
        </w:rPr>
      </w:pPr>
      <w:r w:rsidRPr="00354E3D">
        <w:rPr>
          <w:rFonts w:ascii="Times New Roman" w:hAnsi="Times New Roman" w:cs="Times New Roman"/>
          <w:sz w:val="24"/>
          <w:szCs w:val="24"/>
          <w:lang w:val="en-PK"/>
        </w:rPr>
        <w:t>Operating a DEX app requires infrastructure, such as servers, hosting, and blockchain network fees. Accurate estimation of these ongoing costs is essential to ensure the project remains financially viable.</w:t>
      </w:r>
    </w:p>
    <w:p w14:paraId="6B19047A" w14:textId="77777777" w:rsidR="00DC1E7B" w:rsidRPr="00DC1E7B" w:rsidRDefault="00354E3D" w:rsidP="00DC1E7B">
      <w:pPr>
        <w:rPr>
          <w:rFonts w:ascii="Times New Roman" w:hAnsi="Times New Roman" w:cs="Times New Roman"/>
          <w:b/>
          <w:bCs/>
          <w:sz w:val="28"/>
          <w:szCs w:val="28"/>
          <w:lang w:val="en-PK"/>
        </w:rPr>
      </w:pPr>
      <w:r w:rsidRPr="00354E3D">
        <w:rPr>
          <w:rFonts w:ascii="Times New Roman" w:hAnsi="Times New Roman" w:cs="Times New Roman"/>
          <w:b/>
          <w:bCs/>
          <w:sz w:val="28"/>
          <w:szCs w:val="28"/>
          <w:lang w:val="en-PK"/>
        </w:rPr>
        <w:t xml:space="preserve">Support Risks: </w:t>
      </w:r>
    </w:p>
    <w:p w14:paraId="30B3039C" w14:textId="5A819F84" w:rsidR="00354E3D" w:rsidRPr="00354E3D" w:rsidRDefault="00354E3D" w:rsidP="000D658A">
      <w:pPr>
        <w:rPr>
          <w:rFonts w:ascii="Times New Roman" w:hAnsi="Times New Roman" w:cs="Times New Roman"/>
          <w:sz w:val="24"/>
          <w:szCs w:val="24"/>
          <w:lang w:val="en-PK"/>
        </w:rPr>
      </w:pPr>
      <w:r w:rsidRPr="00354E3D">
        <w:rPr>
          <w:rFonts w:ascii="Times New Roman" w:hAnsi="Times New Roman" w:cs="Times New Roman"/>
          <w:sz w:val="24"/>
          <w:szCs w:val="24"/>
          <w:lang w:val="en-PK"/>
        </w:rPr>
        <w:t>Providing timely and effective support to users, including addressing their queries, resolving issues, and ensuring a positive user experience, is crucial. Inadequate user support can lead to dissatisfaction and potential loss of users.</w:t>
      </w:r>
    </w:p>
    <w:p w14:paraId="5E9E32F0" w14:textId="39D1629F" w:rsidR="00354E3D" w:rsidRPr="00354E3D" w:rsidRDefault="00354E3D" w:rsidP="000D658A">
      <w:pPr>
        <w:rPr>
          <w:rFonts w:ascii="Times New Roman" w:hAnsi="Times New Roman" w:cs="Times New Roman"/>
          <w:sz w:val="24"/>
          <w:szCs w:val="24"/>
          <w:lang w:val="en-PK"/>
        </w:rPr>
      </w:pPr>
      <w:r w:rsidRPr="00354E3D">
        <w:rPr>
          <w:rFonts w:ascii="Times New Roman" w:hAnsi="Times New Roman" w:cs="Times New Roman"/>
          <w:sz w:val="24"/>
          <w:szCs w:val="24"/>
          <w:lang w:val="en-PK"/>
        </w:rPr>
        <w:t>The DEX app may require ongoing technical support to address any software or infrastructure issues that may arise. Lack of access to reliable technical support can result in prolonged downtime or disruptions in service.</w:t>
      </w:r>
    </w:p>
    <w:p w14:paraId="40CE5D6E" w14:textId="77777777" w:rsidR="00441200" w:rsidRPr="00441200" w:rsidRDefault="00354E3D" w:rsidP="00441200">
      <w:pPr>
        <w:rPr>
          <w:rFonts w:ascii="Times New Roman" w:hAnsi="Times New Roman" w:cs="Times New Roman"/>
          <w:b/>
          <w:bCs/>
          <w:sz w:val="28"/>
          <w:szCs w:val="28"/>
          <w:lang w:val="en-PK"/>
        </w:rPr>
      </w:pPr>
      <w:r w:rsidRPr="00354E3D">
        <w:rPr>
          <w:rFonts w:ascii="Times New Roman" w:hAnsi="Times New Roman" w:cs="Times New Roman"/>
          <w:b/>
          <w:bCs/>
          <w:sz w:val="28"/>
          <w:szCs w:val="28"/>
          <w:lang w:val="en-PK"/>
        </w:rPr>
        <w:t xml:space="preserve">Schedule Risks: </w:t>
      </w:r>
    </w:p>
    <w:p w14:paraId="21D48057" w14:textId="30C1352B" w:rsidR="00354E3D" w:rsidRPr="00354E3D" w:rsidRDefault="00354E3D" w:rsidP="000D658A">
      <w:pPr>
        <w:rPr>
          <w:rFonts w:ascii="Times New Roman" w:hAnsi="Times New Roman" w:cs="Times New Roman"/>
          <w:sz w:val="24"/>
          <w:szCs w:val="24"/>
          <w:lang w:val="en-PK"/>
        </w:rPr>
      </w:pPr>
      <w:r w:rsidRPr="00354E3D">
        <w:rPr>
          <w:rFonts w:ascii="Times New Roman" w:hAnsi="Times New Roman" w:cs="Times New Roman"/>
          <w:sz w:val="24"/>
          <w:szCs w:val="24"/>
          <w:lang w:val="en-PK"/>
        </w:rPr>
        <w:t>Unforeseen technical challenges, scope changes, or resource limitations can result in delays in the development process, impacting the overall project schedule.</w:t>
      </w:r>
    </w:p>
    <w:p w14:paraId="704C5881" w14:textId="7F21906E" w:rsidR="00354E3D" w:rsidRPr="00354E3D" w:rsidRDefault="00354E3D" w:rsidP="000D658A">
      <w:pPr>
        <w:rPr>
          <w:rFonts w:ascii="Times New Roman" w:hAnsi="Times New Roman" w:cs="Times New Roman"/>
          <w:sz w:val="24"/>
          <w:szCs w:val="24"/>
          <w:lang w:val="en-PK"/>
        </w:rPr>
      </w:pPr>
      <w:r w:rsidRPr="00354E3D">
        <w:rPr>
          <w:rFonts w:ascii="Times New Roman" w:hAnsi="Times New Roman" w:cs="Times New Roman"/>
          <w:sz w:val="24"/>
          <w:szCs w:val="24"/>
          <w:lang w:val="en-PK"/>
        </w:rPr>
        <w:t>Adhering to regulatory requirements and obtaining necessary licenses or approvals can sometimes take longer than anticipated, causing delays in launching or expanding the DEX app.</w:t>
      </w:r>
    </w:p>
    <w:p w14:paraId="3BEC30F8" w14:textId="03A2A487" w:rsidR="00354E3D" w:rsidRPr="00354E3D" w:rsidRDefault="00354E3D" w:rsidP="000D658A">
      <w:pPr>
        <w:rPr>
          <w:rFonts w:ascii="Times New Roman" w:hAnsi="Times New Roman" w:cs="Times New Roman"/>
          <w:sz w:val="24"/>
          <w:szCs w:val="24"/>
          <w:lang w:val="en-PK"/>
        </w:rPr>
      </w:pPr>
      <w:r w:rsidRPr="00354E3D">
        <w:rPr>
          <w:rFonts w:ascii="Times New Roman" w:hAnsi="Times New Roman" w:cs="Times New Roman"/>
          <w:sz w:val="24"/>
          <w:szCs w:val="24"/>
          <w:lang w:val="en-PK"/>
        </w:rPr>
        <w:t>Integrating the DEX app with external systems, such as blockchain networks</w:t>
      </w:r>
      <w:r w:rsidR="00B1566E">
        <w:rPr>
          <w:rFonts w:ascii="Times New Roman" w:hAnsi="Times New Roman" w:cs="Times New Roman"/>
          <w:sz w:val="24"/>
          <w:szCs w:val="24"/>
        </w:rPr>
        <w:t xml:space="preserve"> </w:t>
      </w:r>
      <w:r w:rsidRPr="00354E3D">
        <w:rPr>
          <w:rFonts w:ascii="Times New Roman" w:hAnsi="Times New Roman" w:cs="Times New Roman"/>
          <w:sz w:val="24"/>
          <w:szCs w:val="24"/>
          <w:lang w:val="en-PK"/>
        </w:rPr>
        <w:t>or third-party services, can introduce complexities and potential delays if compatibility issues arise.</w:t>
      </w:r>
    </w:p>
    <w:p w14:paraId="7AB409B9" w14:textId="77777777" w:rsidR="00354E3D" w:rsidRDefault="00354E3D" w:rsidP="00BB0F1A">
      <w:pPr>
        <w:rPr>
          <w:rFonts w:ascii="Times New Roman" w:hAnsi="Times New Roman" w:cs="Times New Roman"/>
          <w:sz w:val="24"/>
          <w:szCs w:val="24"/>
          <w:lang w:val="en-PK"/>
        </w:rPr>
      </w:pPr>
    </w:p>
    <w:p w14:paraId="37A68CB5" w14:textId="77777777" w:rsidR="00626727" w:rsidRDefault="00626727" w:rsidP="00BB0F1A">
      <w:pPr>
        <w:rPr>
          <w:rFonts w:ascii="Times New Roman" w:hAnsi="Times New Roman" w:cs="Times New Roman"/>
          <w:sz w:val="24"/>
          <w:szCs w:val="24"/>
          <w:lang w:val="en-PK"/>
        </w:rPr>
      </w:pPr>
    </w:p>
    <w:p w14:paraId="2E0F3F9C" w14:textId="7292DF44" w:rsidR="00626727" w:rsidRDefault="00626727" w:rsidP="00623ED2">
      <w:pPr>
        <w:jc w:val="center"/>
        <w:rPr>
          <w:rFonts w:cstheme="minorHAnsi"/>
          <w:b/>
          <w:bCs/>
          <w:sz w:val="36"/>
          <w:szCs w:val="36"/>
          <w:u w:val="single"/>
        </w:rPr>
      </w:pPr>
      <w:r w:rsidRPr="00626727">
        <w:rPr>
          <w:rFonts w:cstheme="minorHAnsi"/>
          <w:b/>
          <w:bCs/>
          <w:sz w:val="36"/>
          <w:szCs w:val="36"/>
          <w:u w:val="single"/>
        </w:rPr>
        <w:lastRenderedPageBreak/>
        <w:t>Risk Impact</w:t>
      </w:r>
    </w:p>
    <w:p w14:paraId="3DCB37D9" w14:textId="77777777" w:rsidR="003C6AE1" w:rsidRPr="003C6AE1" w:rsidRDefault="003C6AE1" w:rsidP="00623ED2">
      <w:pPr>
        <w:jc w:val="center"/>
        <w:rPr>
          <w:rFonts w:cstheme="minorHAnsi"/>
          <w:b/>
          <w:bCs/>
          <w:sz w:val="24"/>
          <w:szCs w:val="24"/>
          <w:u w:val="single"/>
        </w:rPr>
      </w:pPr>
    </w:p>
    <w:p w14:paraId="70DC19C0" w14:textId="77777777" w:rsidR="00623ED2" w:rsidRPr="00623ED2" w:rsidRDefault="00623ED2" w:rsidP="00623ED2">
      <w:pPr>
        <w:rPr>
          <w:rFonts w:ascii="Times New Roman" w:hAnsi="Times New Roman" w:cs="Times New Roman"/>
          <w:b/>
          <w:bCs/>
          <w:sz w:val="28"/>
          <w:szCs w:val="28"/>
          <w:lang w:val="en-PK"/>
        </w:rPr>
      </w:pPr>
      <w:r w:rsidRPr="00623ED2">
        <w:rPr>
          <w:rFonts w:ascii="Times New Roman" w:hAnsi="Times New Roman" w:cs="Times New Roman"/>
          <w:b/>
          <w:bCs/>
          <w:sz w:val="28"/>
          <w:szCs w:val="28"/>
          <w:lang w:val="en-PK"/>
        </w:rPr>
        <w:t xml:space="preserve">Marginal: </w:t>
      </w:r>
    </w:p>
    <w:p w14:paraId="62CB20FF" w14:textId="5BF56978" w:rsidR="00623ED2" w:rsidRDefault="00623ED2" w:rsidP="00623ED2">
      <w:pPr>
        <w:rPr>
          <w:rFonts w:ascii="Times New Roman" w:hAnsi="Times New Roman" w:cs="Times New Roman"/>
          <w:sz w:val="24"/>
          <w:szCs w:val="24"/>
          <w:lang w:val="en-PK"/>
        </w:rPr>
      </w:pPr>
      <w:r w:rsidRPr="00623ED2">
        <w:rPr>
          <w:rFonts w:ascii="Times New Roman" w:hAnsi="Times New Roman" w:cs="Times New Roman"/>
          <w:sz w:val="24"/>
          <w:szCs w:val="24"/>
          <w:lang w:val="en-PK"/>
        </w:rPr>
        <w:t>Marginal risk impact signifies risks that have a limited impact on the DEX app project. While these risks may cause some inconvenience or minor setbacks, they can be managed effectively without significantly derailing the project's progress or objectives. The consequences of marginal risks are generally manageable within the project's existing resources and contingency plans.</w:t>
      </w:r>
    </w:p>
    <w:p w14:paraId="517C9F2E" w14:textId="77777777" w:rsidR="00420789" w:rsidRDefault="00420789" w:rsidP="00623ED2">
      <w:pPr>
        <w:rPr>
          <w:rFonts w:ascii="Times New Roman" w:hAnsi="Times New Roman" w:cs="Times New Roman"/>
          <w:sz w:val="24"/>
          <w:szCs w:val="24"/>
          <w:lang w:val="en-PK"/>
        </w:rPr>
      </w:pPr>
    </w:p>
    <w:p w14:paraId="7633D30C" w14:textId="77777777" w:rsidR="00B52667" w:rsidRDefault="00B52667" w:rsidP="00623ED2">
      <w:pPr>
        <w:rPr>
          <w:rFonts w:ascii="Times New Roman" w:hAnsi="Times New Roman" w:cs="Times New Roman"/>
          <w:sz w:val="24"/>
          <w:szCs w:val="24"/>
          <w:lang w:val="en-PK"/>
        </w:rPr>
      </w:pPr>
    </w:p>
    <w:tbl>
      <w:tblPr>
        <w:tblStyle w:val="TableGrid"/>
        <w:tblW w:w="0" w:type="auto"/>
        <w:tblLook w:val="04A0" w:firstRow="1" w:lastRow="0" w:firstColumn="1" w:lastColumn="0" w:noHBand="0" w:noVBand="1"/>
      </w:tblPr>
      <w:tblGrid>
        <w:gridCol w:w="2972"/>
        <w:gridCol w:w="2410"/>
        <w:gridCol w:w="2126"/>
        <w:gridCol w:w="1842"/>
      </w:tblGrid>
      <w:tr w:rsidR="00420789" w14:paraId="6EB7C67F" w14:textId="77777777" w:rsidTr="00420789">
        <w:trPr>
          <w:trHeight w:val="676"/>
        </w:trPr>
        <w:tc>
          <w:tcPr>
            <w:tcW w:w="2972" w:type="dxa"/>
            <w:vAlign w:val="center"/>
          </w:tcPr>
          <w:p w14:paraId="13569354" w14:textId="7E1B1BE2" w:rsidR="00420789" w:rsidRPr="00420789" w:rsidRDefault="00420789" w:rsidP="00420789">
            <w:pPr>
              <w:jc w:val="center"/>
              <w:rPr>
                <w:rFonts w:cstheme="minorHAnsi"/>
                <w:b/>
                <w:bCs/>
                <w:sz w:val="28"/>
                <w:szCs w:val="28"/>
              </w:rPr>
            </w:pPr>
            <w:r w:rsidRPr="00420789">
              <w:rPr>
                <w:rFonts w:cstheme="minorHAnsi"/>
                <w:b/>
                <w:bCs/>
                <w:sz w:val="28"/>
                <w:szCs w:val="28"/>
              </w:rPr>
              <w:t>Risk</w:t>
            </w:r>
          </w:p>
        </w:tc>
        <w:tc>
          <w:tcPr>
            <w:tcW w:w="2410" w:type="dxa"/>
            <w:vAlign w:val="center"/>
          </w:tcPr>
          <w:p w14:paraId="7B5EBF13" w14:textId="509C5017" w:rsidR="00420789" w:rsidRPr="00420789" w:rsidRDefault="00420789" w:rsidP="00420789">
            <w:pPr>
              <w:jc w:val="center"/>
              <w:rPr>
                <w:rFonts w:cstheme="minorHAnsi"/>
                <w:b/>
                <w:bCs/>
                <w:sz w:val="28"/>
                <w:szCs w:val="28"/>
              </w:rPr>
            </w:pPr>
            <w:r w:rsidRPr="00420789">
              <w:rPr>
                <w:rFonts w:cstheme="minorHAnsi"/>
                <w:b/>
                <w:bCs/>
                <w:sz w:val="28"/>
                <w:szCs w:val="28"/>
              </w:rPr>
              <w:t>Category</w:t>
            </w:r>
          </w:p>
        </w:tc>
        <w:tc>
          <w:tcPr>
            <w:tcW w:w="2126" w:type="dxa"/>
            <w:vAlign w:val="center"/>
          </w:tcPr>
          <w:p w14:paraId="7CD539A1" w14:textId="36236603" w:rsidR="00420789" w:rsidRPr="00420789" w:rsidRDefault="00420789" w:rsidP="00420789">
            <w:pPr>
              <w:jc w:val="center"/>
              <w:rPr>
                <w:rFonts w:cstheme="minorHAnsi"/>
                <w:b/>
                <w:bCs/>
                <w:sz w:val="28"/>
                <w:szCs w:val="28"/>
              </w:rPr>
            </w:pPr>
            <w:r w:rsidRPr="00420789">
              <w:rPr>
                <w:rFonts w:cstheme="minorHAnsi"/>
                <w:b/>
                <w:bCs/>
                <w:sz w:val="28"/>
                <w:szCs w:val="28"/>
              </w:rPr>
              <w:t>Probability</w:t>
            </w:r>
          </w:p>
        </w:tc>
        <w:tc>
          <w:tcPr>
            <w:tcW w:w="1842" w:type="dxa"/>
            <w:vAlign w:val="center"/>
          </w:tcPr>
          <w:p w14:paraId="1B10CDE7" w14:textId="56E33453" w:rsidR="00420789" w:rsidRPr="00420789" w:rsidRDefault="00420789" w:rsidP="00420789">
            <w:pPr>
              <w:jc w:val="center"/>
              <w:rPr>
                <w:rFonts w:cstheme="minorHAnsi"/>
                <w:b/>
                <w:bCs/>
                <w:sz w:val="28"/>
                <w:szCs w:val="28"/>
              </w:rPr>
            </w:pPr>
            <w:r w:rsidRPr="00420789">
              <w:rPr>
                <w:rFonts w:cstheme="minorHAnsi"/>
                <w:b/>
                <w:bCs/>
                <w:sz w:val="28"/>
                <w:szCs w:val="28"/>
              </w:rPr>
              <w:t>Impact</w:t>
            </w:r>
          </w:p>
        </w:tc>
      </w:tr>
      <w:tr w:rsidR="00420789" w14:paraId="5D9D89DA" w14:textId="77777777" w:rsidTr="009D3E21">
        <w:trPr>
          <w:trHeight w:val="828"/>
        </w:trPr>
        <w:tc>
          <w:tcPr>
            <w:tcW w:w="2972" w:type="dxa"/>
            <w:vAlign w:val="center"/>
          </w:tcPr>
          <w:p w14:paraId="1B46DD17" w14:textId="347CDFA2" w:rsidR="00420789" w:rsidRPr="00420789" w:rsidRDefault="00420789" w:rsidP="00420789">
            <w:pPr>
              <w:jc w:val="center"/>
              <w:rPr>
                <w:rFonts w:cstheme="minorHAnsi"/>
                <w:sz w:val="24"/>
                <w:szCs w:val="24"/>
                <w:lang w:val="en-PK"/>
              </w:rPr>
            </w:pPr>
            <w:r w:rsidRPr="00420789">
              <w:rPr>
                <w:rFonts w:cstheme="minorHAnsi"/>
                <w:sz w:val="24"/>
                <w:szCs w:val="24"/>
                <w:lang w:val="en-PK"/>
              </w:rPr>
              <w:t>Smart Contract Vulnerabilities</w:t>
            </w:r>
          </w:p>
        </w:tc>
        <w:tc>
          <w:tcPr>
            <w:tcW w:w="2410" w:type="dxa"/>
            <w:vAlign w:val="center"/>
          </w:tcPr>
          <w:p w14:paraId="089C8504" w14:textId="02A0FD53" w:rsidR="00420789" w:rsidRPr="00420789" w:rsidRDefault="00420789" w:rsidP="00420789">
            <w:pPr>
              <w:jc w:val="center"/>
              <w:rPr>
                <w:rFonts w:cstheme="minorHAnsi"/>
                <w:sz w:val="24"/>
                <w:szCs w:val="24"/>
                <w:lang w:val="en-PK"/>
              </w:rPr>
            </w:pPr>
            <w:r w:rsidRPr="00420789">
              <w:rPr>
                <w:rFonts w:cstheme="minorHAnsi"/>
                <w:sz w:val="24"/>
                <w:szCs w:val="24"/>
                <w:lang w:val="en-PK"/>
              </w:rPr>
              <w:t>Technical Risk</w:t>
            </w:r>
          </w:p>
        </w:tc>
        <w:tc>
          <w:tcPr>
            <w:tcW w:w="2126" w:type="dxa"/>
            <w:vAlign w:val="center"/>
          </w:tcPr>
          <w:p w14:paraId="77A78CC4" w14:textId="4EFAE388" w:rsidR="00420789" w:rsidRPr="00420789" w:rsidRDefault="00420789" w:rsidP="009D3E21">
            <w:pPr>
              <w:spacing w:after="160" w:line="259" w:lineRule="auto"/>
              <w:jc w:val="center"/>
              <w:rPr>
                <w:rFonts w:cstheme="minorHAnsi"/>
                <w:sz w:val="24"/>
                <w:szCs w:val="24"/>
                <w:lang w:val="en-PK"/>
              </w:rPr>
            </w:pPr>
            <w:r w:rsidRPr="00420789">
              <w:rPr>
                <w:rFonts w:cstheme="minorHAnsi"/>
                <w:sz w:val="24"/>
                <w:szCs w:val="24"/>
                <w:lang w:val="en-PK"/>
              </w:rPr>
              <w:t>Medium</w:t>
            </w:r>
          </w:p>
        </w:tc>
        <w:tc>
          <w:tcPr>
            <w:tcW w:w="1842" w:type="dxa"/>
            <w:vAlign w:val="center"/>
          </w:tcPr>
          <w:p w14:paraId="71D042BF" w14:textId="35FE35E6" w:rsidR="00420789" w:rsidRPr="00420789" w:rsidRDefault="00420789" w:rsidP="00420789">
            <w:pPr>
              <w:jc w:val="center"/>
              <w:rPr>
                <w:rFonts w:cstheme="minorHAnsi"/>
                <w:sz w:val="24"/>
                <w:szCs w:val="24"/>
                <w:lang w:val="en-PK"/>
              </w:rPr>
            </w:pPr>
            <w:r w:rsidRPr="00420789">
              <w:rPr>
                <w:rFonts w:cstheme="minorHAnsi"/>
                <w:sz w:val="24"/>
                <w:szCs w:val="24"/>
                <w:lang w:val="en-PK"/>
              </w:rPr>
              <w:t>High</w:t>
            </w:r>
          </w:p>
        </w:tc>
      </w:tr>
      <w:tr w:rsidR="00420789" w14:paraId="236DFED1" w14:textId="77777777" w:rsidTr="009D3E21">
        <w:trPr>
          <w:trHeight w:val="852"/>
        </w:trPr>
        <w:tc>
          <w:tcPr>
            <w:tcW w:w="2972" w:type="dxa"/>
            <w:vAlign w:val="center"/>
          </w:tcPr>
          <w:p w14:paraId="7FBE62C2" w14:textId="31F6F9B2" w:rsidR="00420789" w:rsidRPr="00420789" w:rsidRDefault="00420789" w:rsidP="00420789">
            <w:pPr>
              <w:jc w:val="center"/>
              <w:rPr>
                <w:rFonts w:cstheme="minorHAnsi"/>
                <w:sz w:val="24"/>
                <w:szCs w:val="24"/>
                <w:lang w:val="en-PK"/>
              </w:rPr>
            </w:pPr>
            <w:r w:rsidRPr="00420789">
              <w:rPr>
                <w:rFonts w:cstheme="minorHAnsi"/>
                <w:sz w:val="24"/>
                <w:szCs w:val="24"/>
                <w:lang w:val="en-PK"/>
              </w:rPr>
              <w:t>Regulatory Compliance Challenges</w:t>
            </w:r>
          </w:p>
        </w:tc>
        <w:tc>
          <w:tcPr>
            <w:tcW w:w="2410" w:type="dxa"/>
            <w:vAlign w:val="center"/>
          </w:tcPr>
          <w:p w14:paraId="45DFA244" w14:textId="297FF33E" w:rsidR="00420789" w:rsidRPr="00420789" w:rsidRDefault="00420789" w:rsidP="00420789">
            <w:pPr>
              <w:jc w:val="center"/>
              <w:rPr>
                <w:rFonts w:cstheme="minorHAnsi"/>
                <w:sz w:val="24"/>
                <w:szCs w:val="24"/>
                <w:lang w:val="en-PK"/>
              </w:rPr>
            </w:pPr>
            <w:r w:rsidRPr="00420789">
              <w:rPr>
                <w:rFonts w:cstheme="minorHAnsi"/>
                <w:sz w:val="24"/>
                <w:szCs w:val="24"/>
                <w:lang w:val="en-PK"/>
              </w:rPr>
              <w:t>Business Risk</w:t>
            </w:r>
          </w:p>
        </w:tc>
        <w:tc>
          <w:tcPr>
            <w:tcW w:w="2126" w:type="dxa"/>
            <w:vAlign w:val="center"/>
          </w:tcPr>
          <w:p w14:paraId="2F60D2DC" w14:textId="09F7B971" w:rsidR="00420789" w:rsidRPr="00420789" w:rsidRDefault="00420789" w:rsidP="009D3E21">
            <w:pPr>
              <w:spacing w:after="160" w:line="259" w:lineRule="auto"/>
              <w:jc w:val="center"/>
              <w:rPr>
                <w:rFonts w:cstheme="minorHAnsi"/>
                <w:sz w:val="24"/>
                <w:szCs w:val="24"/>
                <w:lang w:val="en-PK"/>
              </w:rPr>
            </w:pPr>
            <w:r w:rsidRPr="00420789">
              <w:rPr>
                <w:rFonts w:cstheme="minorHAnsi"/>
                <w:sz w:val="24"/>
                <w:szCs w:val="24"/>
                <w:lang w:val="en-PK"/>
              </w:rPr>
              <w:t>High</w:t>
            </w:r>
          </w:p>
        </w:tc>
        <w:tc>
          <w:tcPr>
            <w:tcW w:w="1842" w:type="dxa"/>
            <w:vAlign w:val="center"/>
          </w:tcPr>
          <w:p w14:paraId="308618B1" w14:textId="7F91E024" w:rsidR="00420789" w:rsidRPr="00420789" w:rsidRDefault="00420789" w:rsidP="009D3E21">
            <w:pPr>
              <w:spacing w:after="160" w:line="259" w:lineRule="auto"/>
              <w:jc w:val="center"/>
              <w:rPr>
                <w:rFonts w:cstheme="minorHAnsi"/>
                <w:sz w:val="24"/>
                <w:szCs w:val="24"/>
                <w:lang w:val="en-PK"/>
              </w:rPr>
            </w:pPr>
            <w:r w:rsidRPr="00420789">
              <w:rPr>
                <w:rFonts w:cstheme="minorHAnsi"/>
                <w:sz w:val="24"/>
                <w:szCs w:val="24"/>
                <w:lang w:val="en-PK"/>
              </w:rPr>
              <w:t>High</w:t>
            </w:r>
          </w:p>
        </w:tc>
      </w:tr>
      <w:tr w:rsidR="00420789" w14:paraId="797667F4" w14:textId="77777777" w:rsidTr="00420789">
        <w:trPr>
          <w:trHeight w:val="778"/>
        </w:trPr>
        <w:tc>
          <w:tcPr>
            <w:tcW w:w="2972" w:type="dxa"/>
            <w:vAlign w:val="center"/>
          </w:tcPr>
          <w:p w14:paraId="4DD55A76" w14:textId="13D7E730" w:rsidR="00420789" w:rsidRPr="00420789" w:rsidRDefault="00420789" w:rsidP="00420789">
            <w:pPr>
              <w:jc w:val="center"/>
              <w:rPr>
                <w:rFonts w:cstheme="minorHAnsi"/>
                <w:sz w:val="24"/>
                <w:szCs w:val="24"/>
                <w:lang w:val="en-PK"/>
              </w:rPr>
            </w:pPr>
            <w:r w:rsidRPr="00420789">
              <w:rPr>
                <w:rFonts w:cstheme="minorHAnsi"/>
                <w:sz w:val="24"/>
                <w:szCs w:val="24"/>
                <w:lang w:val="en-PK"/>
              </w:rPr>
              <w:t>Network Congestion</w:t>
            </w:r>
          </w:p>
        </w:tc>
        <w:tc>
          <w:tcPr>
            <w:tcW w:w="2410" w:type="dxa"/>
            <w:vAlign w:val="center"/>
          </w:tcPr>
          <w:p w14:paraId="0CFC4619" w14:textId="5C563ADF" w:rsidR="00420789" w:rsidRPr="00420789" w:rsidRDefault="00420789" w:rsidP="00420789">
            <w:pPr>
              <w:jc w:val="center"/>
              <w:rPr>
                <w:rFonts w:cstheme="minorHAnsi"/>
                <w:sz w:val="24"/>
                <w:szCs w:val="24"/>
                <w:lang w:val="en-PK"/>
              </w:rPr>
            </w:pPr>
            <w:r w:rsidRPr="00420789">
              <w:rPr>
                <w:rFonts w:cstheme="minorHAnsi"/>
                <w:sz w:val="24"/>
                <w:szCs w:val="24"/>
                <w:lang w:val="en-PK"/>
              </w:rPr>
              <w:t>Technical Risk</w:t>
            </w:r>
          </w:p>
        </w:tc>
        <w:tc>
          <w:tcPr>
            <w:tcW w:w="2126" w:type="dxa"/>
            <w:vAlign w:val="center"/>
          </w:tcPr>
          <w:p w14:paraId="4519EFC5" w14:textId="54ED14E6" w:rsidR="00420789" w:rsidRPr="00420789" w:rsidRDefault="00420789" w:rsidP="00420789">
            <w:pPr>
              <w:jc w:val="center"/>
              <w:rPr>
                <w:rFonts w:cstheme="minorHAnsi"/>
                <w:sz w:val="24"/>
                <w:szCs w:val="24"/>
                <w:lang w:val="en-PK"/>
              </w:rPr>
            </w:pPr>
            <w:r w:rsidRPr="00420789">
              <w:rPr>
                <w:rFonts w:cstheme="minorHAnsi"/>
                <w:sz w:val="24"/>
                <w:szCs w:val="24"/>
                <w:lang w:val="en-PK"/>
              </w:rPr>
              <w:t>Medium</w:t>
            </w:r>
          </w:p>
        </w:tc>
        <w:tc>
          <w:tcPr>
            <w:tcW w:w="1842" w:type="dxa"/>
            <w:vAlign w:val="center"/>
          </w:tcPr>
          <w:p w14:paraId="0F10255F" w14:textId="6309EE34" w:rsidR="00420789" w:rsidRPr="00420789" w:rsidRDefault="00420789" w:rsidP="00420789">
            <w:pPr>
              <w:jc w:val="center"/>
              <w:rPr>
                <w:rFonts w:cstheme="minorHAnsi"/>
                <w:sz w:val="24"/>
                <w:szCs w:val="24"/>
                <w:lang w:val="en-PK"/>
              </w:rPr>
            </w:pPr>
            <w:r w:rsidRPr="00420789">
              <w:rPr>
                <w:rFonts w:cstheme="minorHAnsi"/>
                <w:sz w:val="24"/>
                <w:szCs w:val="24"/>
                <w:lang w:val="en-PK"/>
              </w:rPr>
              <w:t>Moderate</w:t>
            </w:r>
          </w:p>
        </w:tc>
      </w:tr>
      <w:tr w:rsidR="00420789" w14:paraId="389BE979" w14:textId="77777777" w:rsidTr="00420789">
        <w:trPr>
          <w:trHeight w:val="782"/>
        </w:trPr>
        <w:tc>
          <w:tcPr>
            <w:tcW w:w="2972" w:type="dxa"/>
            <w:vAlign w:val="center"/>
          </w:tcPr>
          <w:p w14:paraId="4E7EEF8E" w14:textId="6AB039F4" w:rsidR="00420789" w:rsidRPr="00420789" w:rsidRDefault="00420789" w:rsidP="00420789">
            <w:pPr>
              <w:jc w:val="center"/>
              <w:rPr>
                <w:rFonts w:cstheme="minorHAnsi"/>
                <w:sz w:val="24"/>
                <w:szCs w:val="24"/>
                <w:lang w:val="en-PK"/>
              </w:rPr>
            </w:pPr>
            <w:r w:rsidRPr="00420789">
              <w:rPr>
                <w:rFonts w:cstheme="minorHAnsi"/>
                <w:sz w:val="24"/>
                <w:szCs w:val="24"/>
                <w:lang w:val="en-PK"/>
              </w:rPr>
              <w:t>Market Competition</w:t>
            </w:r>
          </w:p>
        </w:tc>
        <w:tc>
          <w:tcPr>
            <w:tcW w:w="2410" w:type="dxa"/>
            <w:vAlign w:val="center"/>
          </w:tcPr>
          <w:p w14:paraId="76B8F46C" w14:textId="57886410" w:rsidR="00420789" w:rsidRPr="00420789" w:rsidRDefault="00420789" w:rsidP="00420789">
            <w:pPr>
              <w:jc w:val="center"/>
              <w:rPr>
                <w:rFonts w:cstheme="minorHAnsi"/>
                <w:sz w:val="24"/>
                <w:szCs w:val="24"/>
                <w:lang w:val="en-PK"/>
              </w:rPr>
            </w:pPr>
            <w:r w:rsidRPr="00420789">
              <w:rPr>
                <w:rFonts w:cstheme="minorHAnsi"/>
                <w:sz w:val="24"/>
                <w:szCs w:val="24"/>
                <w:lang w:val="en-PK"/>
              </w:rPr>
              <w:t>Business Risk</w:t>
            </w:r>
          </w:p>
        </w:tc>
        <w:tc>
          <w:tcPr>
            <w:tcW w:w="2126" w:type="dxa"/>
            <w:vAlign w:val="center"/>
          </w:tcPr>
          <w:p w14:paraId="3085CB45" w14:textId="6F073644" w:rsidR="00420789" w:rsidRPr="00420789" w:rsidRDefault="00420789" w:rsidP="00420789">
            <w:pPr>
              <w:jc w:val="center"/>
              <w:rPr>
                <w:rFonts w:cstheme="minorHAnsi"/>
                <w:sz w:val="24"/>
                <w:szCs w:val="24"/>
                <w:lang w:val="en-PK"/>
              </w:rPr>
            </w:pPr>
            <w:r w:rsidRPr="00420789">
              <w:rPr>
                <w:rFonts w:cstheme="minorHAnsi"/>
                <w:sz w:val="24"/>
                <w:szCs w:val="24"/>
                <w:lang w:val="en-PK"/>
              </w:rPr>
              <w:t>High</w:t>
            </w:r>
          </w:p>
        </w:tc>
        <w:tc>
          <w:tcPr>
            <w:tcW w:w="1842" w:type="dxa"/>
            <w:vAlign w:val="center"/>
          </w:tcPr>
          <w:p w14:paraId="17D3EF9C" w14:textId="42E1ADD8" w:rsidR="00420789" w:rsidRPr="00420789" w:rsidRDefault="00420789" w:rsidP="00420789">
            <w:pPr>
              <w:jc w:val="center"/>
              <w:rPr>
                <w:rFonts w:cstheme="minorHAnsi"/>
                <w:sz w:val="24"/>
                <w:szCs w:val="24"/>
                <w:lang w:val="en-PK"/>
              </w:rPr>
            </w:pPr>
            <w:r w:rsidRPr="00420789">
              <w:rPr>
                <w:rFonts w:cstheme="minorHAnsi"/>
                <w:sz w:val="24"/>
                <w:szCs w:val="24"/>
                <w:lang w:val="en-PK"/>
              </w:rPr>
              <w:t>Moderate</w:t>
            </w:r>
          </w:p>
        </w:tc>
      </w:tr>
      <w:tr w:rsidR="00420789" w14:paraId="7B0EA384" w14:textId="77777777" w:rsidTr="009D3E21">
        <w:trPr>
          <w:trHeight w:val="798"/>
        </w:trPr>
        <w:tc>
          <w:tcPr>
            <w:tcW w:w="2972" w:type="dxa"/>
            <w:vAlign w:val="center"/>
          </w:tcPr>
          <w:p w14:paraId="397E6AB2" w14:textId="1104122E" w:rsidR="00420789" w:rsidRPr="00420789" w:rsidRDefault="00420789" w:rsidP="00420789">
            <w:pPr>
              <w:jc w:val="center"/>
              <w:rPr>
                <w:rFonts w:cstheme="minorHAnsi"/>
                <w:sz w:val="24"/>
                <w:szCs w:val="24"/>
                <w:lang w:val="en-PK"/>
              </w:rPr>
            </w:pPr>
            <w:r w:rsidRPr="00420789">
              <w:rPr>
                <w:rFonts w:cstheme="minorHAnsi"/>
                <w:sz w:val="24"/>
                <w:szCs w:val="24"/>
                <w:lang w:val="en-PK"/>
              </w:rPr>
              <w:t>Liquidity Challenges</w:t>
            </w:r>
          </w:p>
        </w:tc>
        <w:tc>
          <w:tcPr>
            <w:tcW w:w="2410" w:type="dxa"/>
            <w:vAlign w:val="center"/>
          </w:tcPr>
          <w:p w14:paraId="41CFF2D9" w14:textId="7AC13449" w:rsidR="00420789" w:rsidRPr="00420789" w:rsidRDefault="00420789" w:rsidP="00420789">
            <w:pPr>
              <w:jc w:val="center"/>
              <w:rPr>
                <w:rFonts w:cstheme="minorHAnsi"/>
                <w:sz w:val="24"/>
                <w:szCs w:val="24"/>
                <w:lang w:val="en-PK"/>
              </w:rPr>
            </w:pPr>
            <w:r w:rsidRPr="00420789">
              <w:rPr>
                <w:rFonts w:cstheme="minorHAnsi"/>
                <w:sz w:val="24"/>
                <w:szCs w:val="24"/>
                <w:lang w:val="en-PK"/>
              </w:rPr>
              <w:t>Business Risk</w:t>
            </w:r>
          </w:p>
        </w:tc>
        <w:tc>
          <w:tcPr>
            <w:tcW w:w="2126" w:type="dxa"/>
            <w:vAlign w:val="center"/>
          </w:tcPr>
          <w:p w14:paraId="61A453E9" w14:textId="56056A27" w:rsidR="00420789" w:rsidRPr="00420789" w:rsidRDefault="00420789" w:rsidP="00420789">
            <w:pPr>
              <w:jc w:val="center"/>
              <w:rPr>
                <w:rFonts w:cstheme="minorHAnsi"/>
                <w:sz w:val="24"/>
                <w:szCs w:val="24"/>
                <w:lang w:val="en-PK"/>
              </w:rPr>
            </w:pPr>
            <w:r w:rsidRPr="00420789">
              <w:rPr>
                <w:rFonts w:cstheme="minorHAnsi"/>
                <w:sz w:val="24"/>
                <w:szCs w:val="24"/>
                <w:lang w:val="en-PK"/>
              </w:rPr>
              <w:t>Medium</w:t>
            </w:r>
          </w:p>
        </w:tc>
        <w:tc>
          <w:tcPr>
            <w:tcW w:w="1842" w:type="dxa"/>
            <w:vAlign w:val="center"/>
          </w:tcPr>
          <w:p w14:paraId="7833ECC1" w14:textId="68244E17" w:rsidR="00420789" w:rsidRPr="00420789" w:rsidRDefault="00420789" w:rsidP="00420789">
            <w:pPr>
              <w:jc w:val="center"/>
              <w:rPr>
                <w:rFonts w:cstheme="minorHAnsi"/>
                <w:sz w:val="24"/>
                <w:szCs w:val="24"/>
                <w:lang w:val="en-PK"/>
              </w:rPr>
            </w:pPr>
            <w:r w:rsidRPr="00420789">
              <w:rPr>
                <w:rFonts w:cstheme="minorHAnsi"/>
                <w:sz w:val="24"/>
                <w:szCs w:val="24"/>
                <w:lang w:val="en-PK"/>
              </w:rPr>
              <w:t>High</w:t>
            </w:r>
          </w:p>
        </w:tc>
      </w:tr>
    </w:tbl>
    <w:p w14:paraId="75541E96" w14:textId="77777777" w:rsidR="00420789" w:rsidRPr="006E4F6D" w:rsidRDefault="00420789" w:rsidP="006E4F6D">
      <w:pPr>
        <w:rPr>
          <w:rFonts w:cstheme="minorHAnsi"/>
        </w:rPr>
      </w:pPr>
    </w:p>
    <w:p w14:paraId="7EBF4332" w14:textId="77777777" w:rsidR="007802BB" w:rsidRDefault="007802BB" w:rsidP="00FA23A2">
      <w:pPr>
        <w:jc w:val="center"/>
        <w:rPr>
          <w:rFonts w:cstheme="minorHAnsi"/>
          <w:b/>
          <w:bCs/>
          <w:sz w:val="36"/>
          <w:szCs w:val="36"/>
          <w:u w:val="single"/>
        </w:rPr>
      </w:pPr>
    </w:p>
    <w:p w14:paraId="30061E5D" w14:textId="77777777" w:rsidR="007802BB" w:rsidRDefault="007802BB" w:rsidP="00FA23A2">
      <w:pPr>
        <w:jc w:val="center"/>
        <w:rPr>
          <w:rFonts w:cstheme="minorHAnsi"/>
          <w:b/>
          <w:bCs/>
          <w:sz w:val="36"/>
          <w:szCs w:val="36"/>
          <w:u w:val="single"/>
        </w:rPr>
      </w:pPr>
    </w:p>
    <w:p w14:paraId="08AC3EAC" w14:textId="77777777" w:rsidR="007802BB" w:rsidRDefault="007802BB" w:rsidP="00FA23A2">
      <w:pPr>
        <w:jc w:val="center"/>
        <w:rPr>
          <w:rFonts w:cstheme="minorHAnsi"/>
          <w:b/>
          <w:bCs/>
          <w:sz w:val="36"/>
          <w:szCs w:val="36"/>
          <w:u w:val="single"/>
        </w:rPr>
      </w:pPr>
    </w:p>
    <w:p w14:paraId="6877D9CC" w14:textId="77777777" w:rsidR="007802BB" w:rsidRDefault="007802BB" w:rsidP="00FA23A2">
      <w:pPr>
        <w:jc w:val="center"/>
        <w:rPr>
          <w:rFonts w:cstheme="minorHAnsi"/>
          <w:b/>
          <w:bCs/>
          <w:sz w:val="36"/>
          <w:szCs w:val="36"/>
          <w:u w:val="single"/>
        </w:rPr>
      </w:pPr>
    </w:p>
    <w:p w14:paraId="56A59F3D" w14:textId="77777777" w:rsidR="007802BB" w:rsidRDefault="007802BB" w:rsidP="00FA23A2">
      <w:pPr>
        <w:jc w:val="center"/>
        <w:rPr>
          <w:rFonts w:cstheme="minorHAnsi"/>
          <w:b/>
          <w:bCs/>
          <w:sz w:val="36"/>
          <w:szCs w:val="36"/>
          <w:u w:val="single"/>
        </w:rPr>
      </w:pPr>
    </w:p>
    <w:p w14:paraId="599DE00C" w14:textId="77777777" w:rsidR="007802BB" w:rsidRDefault="007802BB" w:rsidP="003A192D">
      <w:pPr>
        <w:rPr>
          <w:rFonts w:cstheme="minorHAnsi"/>
          <w:b/>
          <w:bCs/>
          <w:sz w:val="36"/>
          <w:szCs w:val="36"/>
          <w:u w:val="single"/>
        </w:rPr>
      </w:pPr>
    </w:p>
    <w:p w14:paraId="10CDA736" w14:textId="1FF37360" w:rsidR="00543C25" w:rsidRDefault="00FA23A2" w:rsidP="00FA23A2">
      <w:pPr>
        <w:jc w:val="center"/>
        <w:rPr>
          <w:rFonts w:cstheme="minorHAnsi"/>
          <w:b/>
          <w:bCs/>
          <w:sz w:val="36"/>
          <w:szCs w:val="36"/>
          <w:u w:val="single"/>
        </w:rPr>
      </w:pPr>
      <w:r w:rsidRPr="00FA23A2">
        <w:rPr>
          <w:rFonts w:cstheme="minorHAnsi"/>
          <w:b/>
          <w:bCs/>
          <w:sz w:val="36"/>
          <w:szCs w:val="36"/>
          <w:u w:val="single"/>
        </w:rPr>
        <w:lastRenderedPageBreak/>
        <w:t>RMMM</w:t>
      </w:r>
    </w:p>
    <w:p w14:paraId="1BD87A96" w14:textId="77777777" w:rsidR="00A94889" w:rsidRPr="00623ED2" w:rsidRDefault="00A94889" w:rsidP="00FA23A2">
      <w:pPr>
        <w:jc w:val="center"/>
        <w:rPr>
          <w:rFonts w:cstheme="minorHAnsi"/>
          <w:b/>
          <w:bCs/>
          <w:sz w:val="24"/>
          <w:szCs w:val="24"/>
          <w:u w:val="single"/>
        </w:rPr>
      </w:pPr>
    </w:p>
    <w:p w14:paraId="5D835EA8" w14:textId="77777777" w:rsidR="00FA23A2" w:rsidRPr="00FA23A2" w:rsidRDefault="00FA23A2" w:rsidP="00FA23A2">
      <w:pPr>
        <w:rPr>
          <w:rFonts w:ascii="Times New Roman" w:hAnsi="Times New Roman" w:cs="Times New Roman"/>
          <w:b/>
          <w:bCs/>
          <w:sz w:val="28"/>
          <w:szCs w:val="28"/>
          <w:lang w:val="en-PK"/>
        </w:rPr>
      </w:pPr>
      <w:r w:rsidRPr="00FA23A2">
        <w:rPr>
          <w:rFonts w:ascii="Times New Roman" w:hAnsi="Times New Roman" w:cs="Times New Roman"/>
          <w:b/>
          <w:bCs/>
          <w:sz w:val="28"/>
          <w:szCs w:val="28"/>
          <w:lang w:val="en-PK"/>
        </w:rPr>
        <w:t>Risk Identification:</w:t>
      </w:r>
    </w:p>
    <w:p w14:paraId="3B5E92E7" w14:textId="77777777" w:rsidR="00C06207" w:rsidRDefault="00FA23A2" w:rsidP="00C06207">
      <w:pPr>
        <w:pStyle w:val="ListParagraph"/>
        <w:numPr>
          <w:ilvl w:val="0"/>
          <w:numId w:val="27"/>
        </w:numPr>
        <w:rPr>
          <w:rFonts w:ascii="Times New Roman" w:hAnsi="Times New Roman" w:cs="Times New Roman"/>
          <w:sz w:val="24"/>
          <w:szCs w:val="24"/>
          <w:lang w:val="en-PK"/>
        </w:rPr>
      </w:pPr>
      <w:r w:rsidRPr="00C06207">
        <w:rPr>
          <w:rFonts w:ascii="Times New Roman" w:hAnsi="Times New Roman" w:cs="Times New Roman"/>
          <w:sz w:val="24"/>
          <w:szCs w:val="24"/>
          <w:lang w:val="en-PK"/>
        </w:rPr>
        <w:t>Establish a dedicated risk management team responsible for identifying potential risks throughout the project lifecycle.</w:t>
      </w:r>
    </w:p>
    <w:p w14:paraId="1300DDF0" w14:textId="77777777" w:rsidR="00C06207" w:rsidRDefault="00FA23A2" w:rsidP="00C06207">
      <w:pPr>
        <w:pStyle w:val="ListParagraph"/>
        <w:numPr>
          <w:ilvl w:val="0"/>
          <w:numId w:val="27"/>
        </w:numPr>
        <w:rPr>
          <w:rFonts w:ascii="Times New Roman" w:hAnsi="Times New Roman" w:cs="Times New Roman"/>
          <w:sz w:val="24"/>
          <w:szCs w:val="24"/>
          <w:lang w:val="en-PK"/>
        </w:rPr>
      </w:pPr>
      <w:r w:rsidRPr="00C06207">
        <w:rPr>
          <w:rFonts w:ascii="Times New Roman" w:hAnsi="Times New Roman" w:cs="Times New Roman"/>
          <w:sz w:val="24"/>
          <w:szCs w:val="24"/>
          <w:lang w:val="en-PK"/>
        </w:rPr>
        <w:t>Conduct comprehensive risk identification workshops or brainstorming sessions involving key stakeholders, developers, and subject matter experts.</w:t>
      </w:r>
    </w:p>
    <w:p w14:paraId="533F29C7" w14:textId="2510DD27" w:rsidR="00FA23A2" w:rsidRPr="00C06207" w:rsidRDefault="00FA23A2" w:rsidP="00C06207">
      <w:pPr>
        <w:pStyle w:val="ListParagraph"/>
        <w:numPr>
          <w:ilvl w:val="0"/>
          <w:numId w:val="27"/>
        </w:numPr>
        <w:rPr>
          <w:rFonts w:ascii="Times New Roman" w:hAnsi="Times New Roman" w:cs="Times New Roman"/>
          <w:sz w:val="24"/>
          <w:szCs w:val="24"/>
          <w:lang w:val="en-PK"/>
        </w:rPr>
      </w:pPr>
      <w:r w:rsidRPr="00C06207">
        <w:rPr>
          <w:rFonts w:ascii="Times New Roman" w:hAnsi="Times New Roman" w:cs="Times New Roman"/>
          <w:sz w:val="24"/>
          <w:szCs w:val="24"/>
          <w:lang w:val="en-PK"/>
        </w:rPr>
        <w:t>Utilize risk templates and checklists specific to DEX app projects to ensure thorough coverage of potential risks.</w:t>
      </w:r>
    </w:p>
    <w:p w14:paraId="48BB5CBF" w14:textId="77777777" w:rsidR="000C42ED" w:rsidRDefault="00FA23A2" w:rsidP="000C42ED">
      <w:pPr>
        <w:rPr>
          <w:rFonts w:ascii="Times New Roman" w:hAnsi="Times New Roman" w:cs="Times New Roman"/>
          <w:b/>
          <w:bCs/>
          <w:sz w:val="28"/>
          <w:szCs w:val="28"/>
          <w:lang w:val="en-PK"/>
        </w:rPr>
      </w:pPr>
      <w:r w:rsidRPr="00FA23A2">
        <w:rPr>
          <w:rFonts w:ascii="Times New Roman" w:hAnsi="Times New Roman" w:cs="Times New Roman"/>
          <w:b/>
          <w:bCs/>
          <w:sz w:val="28"/>
          <w:szCs w:val="28"/>
          <w:lang w:val="en-PK"/>
        </w:rPr>
        <w:t>Risk Mitigation Strategies:</w:t>
      </w:r>
    </w:p>
    <w:p w14:paraId="347CB4AA" w14:textId="77777777" w:rsidR="000C42ED" w:rsidRPr="000C42ED" w:rsidRDefault="00FA23A2" w:rsidP="000C42ED">
      <w:pPr>
        <w:pStyle w:val="ListParagraph"/>
        <w:numPr>
          <w:ilvl w:val="0"/>
          <w:numId w:val="29"/>
        </w:numPr>
        <w:rPr>
          <w:rFonts w:ascii="Times New Roman" w:hAnsi="Times New Roman" w:cs="Times New Roman"/>
          <w:b/>
          <w:bCs/>
          <w:sz w:val="28"/>
          <w:szCs w:val="28"/>
          <w:lang w:val="en-PK"/>
        </w:rPr>
      </w:pPr>
      <w:r w:rsidRPr="000C42ED">
        <w:rPr>
          <w:rFonts w:ascii="Times New Roman" w:hAnsi="Times New Roman" w:cs="Times New Roman"/>
          <w:sz w:val="24"/>
          <w:szCs w:val="24"/>
          <w:lang w:val="en-PK"/>
        </w:rPr>
        <w:t>Develop a risk response plan for each identified risk, outlining specific actions to mitigate or minimize their impact.</w:t>
      </w:r>
    </w:p>
    <w:p w14:paraId="0EDCFC92" w14:textId="77777777" w:rsidR="000C42ED" w:rsidRPr="000C42ED" w:rsidRDefault="00FA23A2" w:rsidP="000C42ED">
      <w:pPr>
        <w:pStyle w:val="ListParagraph"/>
        <w:numPr>
          <w:ilvl w:val="0"/>
          <w:numId w:val="29"/>
        </w:numPr>
        <w:rPr>
          <w:rFonts w:ascii="Times New Roman" w:hAnsi="Times New Roman" w:cs="Times New Roman"/>
          <w:b/>
          <w:bCs/>
          <w:sz w:val="28"/>
          <w:szCs w:val="28"/>
          <w:lang w:val="en-PK"/>
        </w:rPr>
      </w:pPr>
      <w:r w:rsidRPr="000C42ED">
        <w:rPr>
          <w:rFonts w:ascii="Times New Roman" w:hAnsi="Times New Roman" w:cs="Times New Roman"/>
          <w:sz w:val="24"/>
          <w:szCs w:val="24"/>
          <w:lang w:val="en-PK"/>
        </w:rPr>
        <w:t>Implement security best practices and conduct regular code reviews and security audits for the smart contracts powering the DEX app.</w:t>
      </w:r>
    </w:p>
    <w:p w14:paraId="015BB1A1" w14:textId="77777777" w:rsidR="000C42ED" w:rsidRPr="000C42ED" w:rsidRDefault="00FA23A2" w:rsidP="000C42ED">
      <w:pPr>
        <w:pStyle w:val="ListParagraph"/>
        <w:numPr>
          <w:ilvl w:val="0"/>
          <w:numId w:val="29"/>
        </w:numPr>
        <w:rPr>
          <w:rFonts w:ascii="Times New Roman" w:hAnsi="Times New Roman" w:cs="Times New Roman"/>
          <w:b/>
          <w:bCs/>
          <w:sz w:val="28"/>
          <w:szCs w:val="28"/>
          <w:lang w:val="en-PK"/>
        </w:rPr>
      </w:pPr>
      <w:r w:rsidRPr="000C42ED">
        <w:rPr>
          <w:rFonts w:ascii="Times New Roman" w:hAnsi="Times New Roman" w:cs="Times New Roman"/>
          <w:sz w:val="24"/>
          <w:szCs w:val="24"/>
          <w:lang w:val="en-PK"/>
        </w:rPr>
        <w:t>Establish redundancy and failover mechanisms to ensure high availability and mitigate potential infrastructure failures.</w:t>
      </w:r>
    </w:p>
    <w:p w14:paraId="4A8F051F" w14:textId="3A0C350B" w:rsidR="00FA23A2" w:rsidRPr="000C42ED" w:rsidRDefault="00FA23A2" w:rsidP="000C42ED">
      <w:pPr>
        <w:pStyle w:val="ListParagraph"/>
        <w:numPr>
          <w:ilvl w:val="0"/>
          <w:numId w:val="29"/>
        </w:numPr>
        <w:rPr>
          <w:rFonts w:ascii="Times New Roman" w:hAnsi="Times New Roman" w:cs="Times New Roman"/>
          <w:b/>
          <w:bCs/>
          <w:sz w:val="28"/>
          <w:szCs w:val="28"/>
          <w:lang w:val="en-PK"/>
        </w:rPr>
      </w:pPr>
      <w:r w:rsidRPr="000C42ED">
        <w:rPr>
          <w:rFonts w:ascii="Times New Roman" w:hAnsi="Times New Roman" w:cs="Times New Roman"/>
          <w:sz w:val="24"/>
          <w:szCs w:val="24"/>
          <w:lang w:val="en-PK"/>
        </w:rPr>
        <w:t>Engage legal and compliance experts to navigate regulatory uncertainties and ensure the DEX app operates within legal boundaries.</w:t>
      </w:r>
    </w:p>
    <w:p w14:paraId="29C803E8" w14:textId="77777777" w:rsidR="007802BB" w:rsidRDefault="00FA23A2" w:rsidP="007802BB">
      <w:pPr>
        <w:rPr>
          <w:rFonts w:ascii="Times New Roman" w:hAnsi="Times New Roman" w:cs="Times New Roman"/>
          <w:b/>
          <w:bCs/>
          <w:sz w:val="28"/>
          <w:szCs w:val="28"/>
          <w:lang w:val="en-PK"/>
        </w:rPr>
      </w:pPr>
      <w:r w:rsidRPr="00FA23A2">
        <w:rPr>
          <w:rFonts w:ascii="Times New Roman" w:hAnsi="Times New Roman" w:cs="Times New Roman"/>
          <w:b/>
          <w:bCs/>
          <w:sz w:val="28"/>
          <w:szCs w:val="28"/>
          <w:lang w:val="en-PK"/>
        </w:rPr>
        <w:t>Risk Monitoring:</w:t>
      </w:r>
    </w:p>
    <w:p w14:paraId="79641015" w14:textId="77777777" w:rsidR="007802BB" w:rsidRPr="007802BB" w:rsidRDefault="00FA23A2" w:rsidP="007802BB">
      <w:pPr>
        <w:pStyle w:val="ListParagraph"/>
        <w:numPr>
          <w:ilvl w:val="0"/>
          <w:numId w:val="30"/>
        </w:numPr>
        <w:rPr>
          <w:rFonts w:ascii="Times New Roman" w:hAnsi="Times New Roman" w:cs="Times New Roman"/>
          <w:b/>
          <w:bCs/>
          <w:sz w:val="28"/>
          <w:szCs w:val="28"/>
          <w:lang w:val="en-PK"/>
        </w:rPr>
      </w:pPr>
      <w:r w:rsidRPr="007802BB">
        <w:rPr>
          <w:rFonts w:ascii="Times New Roman" w:hAnsi="Times New Roman" w:cs="Times New Roman"/>
          <w:sz w:val="24"/>
          <w:szCs w:val="24"/>
          <w:lang w:val="en-PK"/>
        </w:rPr>
        <w:t>Implement a robust risk monitoring system to track the identified risks and their mitigation measures throughout the project.</w:t>
      </w:r>
    </w:p>
    <w:p w14:paraId="614B4A69" w14:textId="77777777" w:rsidR="007802BB" w:rsidRPr="007802BB" w:rsidRDefault="00FA23A2" w:rsidP="007802BB">
      <w:pPr>
        <w:pStyle w:val="ListParagraph"/>
        <w:numPr>
          <w:ilvl w:val="0"/>
          <w:numId w:val="30"/>
        </w:numPr>
        <w:rPr>
          <w:rFonts w:ascii="Times New Roman" w:hAnsi="Times New Roman" w:cs="Times New Roman"/>
          <w:b/>
          <w:bCs/>
          <w:sz w:val="28"/>
          <w:szCs w:val="28"/>
          <w:lang w:val="en-PK"/>
        </w:rPr>
      </w:pPr>
      <w:r w:rsidRPr="007802BB">
        <w:rPr>
          <w:rFonts w:ascii="Times New Roman" w:hAnsi="Times New Roman" w:cs="Times New Roman"/>
          <w:sz w:val="24"/>
          <w:szCs w:val="24"/>
          <w:lang w:val="en-PK"/>
        </w:rPr>
        <w:t>Regularly review and update risk registers, documenting any new risks that emerge during the project.</w:t>
      </w:r>
    </w:p>
    <w:p w14:paraId="2D37AD70" w14:textId="493DC214" w:rsidR="00FA23A2" w:rsidRPr="007802BB" w:rsidRDefault="00FA23A2" w:rsidP="007802BB">
      <w:pPr>
        <w:pStyle w:val="ListParagraph"/>
        <w:numPr>
          <w:ilvl w:val="0"/>
          <w:numId w:val="30"/>
        </w:numPr>
        <w:rPr>
          <w:rFonts w:ascii="Times New Roman" w:hAnsi="Times New Roman" w:cs="Times New Roman"/>
          <w:b/>
          <w:bCs/>
          <w:sz w:val="28"/>
          <w:szCs w:val="28"/>
          <w:lang w:val="en-PK"/>
        </w:rPr>
      </w:pPr>
      <w:r w:rsidRPr="007802BB">
        <w:rPr>
          <w:rFonts w:ascii="Times New Roman" w:hAnsi="Times New Roman" w:cs="Times New Roman"/>
          <w:sz w:val="24"/>
          <w:szCs w:val="24"/>
          <w:lang w:val="en-PK"/>
        </w:rPr>
        <w:t>Establish key risk indicators (</w:t>
      </w:r>
      <w:proofErr w:type="spellStart"/>
      <w:r w:rsidRPr="007802BB">
        <w:rPr>
          <w:rFonts w:ascii="Times New Roman" w:hAnsi="Times New Roman" w:cs="Times New Roman"/>
          <w:sz w:val="24"/>
          <w:szCs w:val="24"/>
          <w:lang w:val="en-PK"/>
        </w:rPr>
        <w:t>KRIs</w:t>
      </w:r>
      <w:proofErr w:type="spellEnd"/>
      <w:r w:rsidRPr="007802BB">
        <w:rPr>
          <w:rFonts w:ascii="Times New Roman" w:hAnsi="Times New Roman" w:cs="Times New Roman"/>
          <w:sz w:val="24"/>
          <w:szCs w:val="24"/>
          <w:lang w:val="en-PK"/>
        </w:rPr>
        <w:t>) and monitor them closely to proactively identify warning signs of potential risks.</w:t>
      </w:r>
    </w:p>
    <w:p w14:paraId="4C0563B3" w14:textId="77777777" w:rsidR="00FA23A2" w:rsidRPr="00FA23A2" w:rsidRDefault="00FA23A2" w:rsidP="00461DF4">
      <w:pPr>
        <w:rPr>
          <w:rFonts w:ascii="Times New Roman" w:hAnsi="Times New Roman" w:cs="Times New Roman"/>
          <w:b/>
          <w:bCs/>
          <w:sz w:val="28"/>
          <w:szCs w:val="28"/>
          <w:lang w:val="en-PK"/>
        </w:rPr>
      </w:pPr>
      <w:r w:rsidRPr="00FA23A2">
        <w:rPr>
          <w:rFonts w:ascii="Times New Roman" w:hAnsi="Times New Roman" w:cs="Times New Roman"/>
          <w:b/>
          <w:bCs/>
          <w:sz w:val="28"/>
          <w:szCs w:val="28"/>
          <w:lang w:val="en-PK"/>
        </w:rPr>
        <w:t>Contingency Planning:</w:t>
      </w:r>
    </w:p>
    <w:p w14:paraId="6C3F3EE8" w14:textId="77777777" w:rsidR="007802BB" w:rsidRDefault="00FA23A2" w:rsidP="007802BB">
      <w:pPr>
        <w:pStyle w:val="ListParagraph"/>
        <w:numPr>
          <w:ilvl w:val="0"/>
          <w:numId w:val="31"/>
        </w:numPr>
        <w:rPr>
          <w:rFonts w:ascii="Times New Roman" w:hAnsi="Times New Roman" w:cs="Times New Roman"/>
          <w:sz w:val="24"/>
          <w:szCs w:val="24"/>
          <w:lang w:val="en-PK"/>
        </w:rPr>
      </w:pPr>
      <w:r w:rsidRPr="007802BB">
        <w:rPr>
          <w:rFonts w:ascii="Times New Roman" w:hAnsi="Times New Roman" w:cs="Times New Roman"/>
          <w:sz w:val="24"/>
          <w:szCs w:val="24"/>
          <w:lang w:val="en-PK"/>
        </w:rPr>
        <w:t>Develop contingency plans for critical risks with potential catastrophic impact.</w:t>
      </w:r>
    </w:p>
    <w:p w14:paraId="636FB912" w14:textId="77777777" w:rsidR="007802BB" w:rsidRDefault="00FA23A2" w:rsidP="007802BB">
      <w:pPr>
        <w:pStyle w:val="ListParagraph"/>
        <w:numPr>
          <w:ilvl w:val="0"/>
          <w:numId w:val="31"/>
        </w:numPr>
        <w:rPr>
          <w:rFonts w:ascii="Times New Roman" w:hAnsi="Times New Roman" w:cs="Times New Roman"/>
          <w:sz w:val="24"/>
          <w:szCs w:val="24"/>
          <w:lang w:val="en-PK"/>
        </w:rPr>
      </w:pPr>
      <w:r w:rsidRPr="007802BB">
        <w:rPr>
          <w:rFonts w:ascii="Times New Roman" w:hAnsi="Times New Roman" w:cs="Times New Roman"/>
          <w:sz w:val="24"/>
          <w:szCs w:val="24"/>
          <w:lang w:val="en-PK"/>
        </w:rPr>
        <w:t>Outline alternative strategies or fallback options to mitigate the consequences of identified risks.</w:t>
      </w:r>
    </w:p>
    <w:p w14:paraId="26437CC2" w14:textId="6DF4CD2A" w:rsidR="00FA23A2" w:rsidRPr="007802BB" w:rsidRDefault="00FA23A2" w:rsidP="007802BB">
      <w:pPr>
        <w:pStyle w:val="ListParagraph"/>
        <w:numPr>
          <w:ilvl w:val="0"/>
          <w:numId w:val="31"/>
        </w:numPr>
        <w:rPr>
          <w:rFonts w:ascii="Times New Roman" w:hAnsi="Times New Roman" w:cs="Times New Roman"/>
          <w:sz w:val="24"/>
          <w:szCs w:val="24"/>
          <w:lang w:val="en-PK"/>
        </w:rPr>
      </w:pPr>
      <w:r w:rsidRPr="007802BB">
        <w:rPr>
          <w:rFonts w:ascii="Times New Roman" w:hAnsi="Times New Roman" w:cs="Times New Roman"/>
          <w:sz w:val="24"/>
          <w:szCs w:val="24"/>
          <w:lang w:val="en-PK"/>
        </w:rPr>
        <w:t>Ensure the availability of backup resources, such as alternative liquidity providers or technical infrastructure, to address potential disruptions.</w:t>
      </w:r>
    </w:p>
    <w:p w14:paraId="383A53C5" w14:textId="77777777" w:rsidR="003D19FE" w:rsidRPr="00626727" w:rsidRDefault="003D19FE" w:rsidP="00626727">
      <w:pPr>
        <w:rPr>
          <w:rFonts w:cstheme="minorHAnsi"/>
          <w:b/>
          <w:bCs/>
          <w:sz w:val="28"/>
          <w:szCs w:val="28"/>
          <w:u w:val="single"/>
        </w:rPr>
      </w:pPr>
    </w:p>
    <w:sectPr w:rsidR="003D19FE" w:rsidRPr="00626727" w:rsidSect="006A488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8D2"/>
    <w:multiLevelType w:val="multilevel"/>
    <w:tmpl w:val="297CC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926EC"/>
    <w:multiLevelType w:val="multilevel"/>
    <w:tmpl w:val="BDC8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B3054"/>
    <w:multiLevelType w:val="multilevel"/>
    <w:tmpl w:val="69D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F5EBE"/>
    <w:multiLevelType w:val="multilevel"/>
    <w:tmpl w:val="DFFEC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B5194"/>
    <w:multiLevelType w:val="multilevel"/>
    <w:tmpl w:val="BDB2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673483"/>
    <w:multiLevelType w:val="multilevel"/>
    <w:tmpl w:val="60D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C4F8F"/>
    <w:multiLevelType w:val="multilevel"/>
    <w:tmpl w:val="D810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B0FDE"/>
    <w:multiLevelType w:val="multilevel"/>
    <w:tmpl w:val="BE80C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F751E"/>
    <w:multiLevelType w:val="multilevel"/>
    <w:tmpl w:val="9B38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92521"/>
    <w:multiLevelType w:val="hybridMultilevel"/>
    <w:tmpl w:val="50622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AB11531"/>
    <w:multiLevelType w:val="multilevel"/>
    <w:tmpl w:val="803E3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F710D"/>
    <w:multiLevelType w:val="multilevel"/>
    <w:tmpl w:val="83F6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D5D98"/>
    <w:multiLevelType w:val="hybridMultilevel"/>
    <w:tmpl w:val="C4603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3C54796"/>
    <w:multiLevelType w:val="multilevel"/>
    <w:tmpl w:val="EE62A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C7FD1"/>
    <w:multiLevelType w:val="multilevel"/>
    <w:tmpl w:val="95DA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F22A7"/>
    <w:multiLevelType w:val="multilevel"/>
    <w:tmpl w:val="0E5E8A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47C20"/>
    <w:multiLevelType w:val="multilevel"/>
    <w:tmpl w:val="397A5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047C09"/>
    <w:multiLevelType w:val="multilevel"/>
    <w:tmpl w:val="7826A8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A64DA"/>
    <w:multiLevelType w:val="multilevel"/>
    <w:tmpl w:val="861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4E4225"/>
    <w:multiLevelType w:val="multilevel"/>
    <w:tmpl w:val="7D04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0E1DD6"/>
    <w:multiLevelType w:val="hybridMultilevel"/>
    <w:tmpl w:val="2E2A623C"/>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696525E"/>
    <w:multiLevelType w:val="multilevel"/>
    <w:tmpl w:val="5E9A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8314CB"/>
    <w:multiLevelType w:val="multilevel"/>
    <w:tmpl w:val="AE7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307B70"/>
    <w:multiLevelType w:val="hybridMultilevel"/>
    <w:tmpl w:val="9D2407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1F1004D"/>
    <w:multiLevelType w:val="multilevel"/>
    <w:tmpl w:val="9272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3366A3"/>
    <w:multiLevelType w:val="hybridMultilevel"/>
    <w:tmpl w:val="B37A05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5267312"/>
    <w:multiLevelType w:val="hybridMultilevel"/>
    <w:tmpl w:val="74AE9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57732C5"/>
    <w:multiLevelType w:val="multilevel"/>
    <w:tmpl w:val="C9BA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5B5786"/>
    <w:multiLevelType w:val="multilevel"/>
    <w:tmpl w:val="0B52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032365"/>
    <w:multiLevelType w:val="multilevel"/>
    <w:tmpl w:val="2C2AB8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B760D3"/>
    <w:multiLevelType w:val="multilevel"/>
    <w:tmpl w:val="B9EE74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9F149D"/>
    <w:multiLevelType w:val="multilevel"/>
    <w:tmpl w:val="16C0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961259">
    <w:abstractNumId w:val="20"/>
  </w:num>
  <w:num w:numId="2" w16cid:durableId="863129772">
    <w:abstractNumId w:val="14"/>
  </w:num>
  <w:num w:numId="3" w16cid:durableId="540629006">
    <w:abstractNumId w:val="21"/>
  </w:num>
  <w:num w:numId="4" w16cid:durableId="1307395192">
    <w:abstractNumId w:val="13"/>
  </w:num>
  <w:num w:numId="5" w16cid:durableId="76170854">
    <w:abstractNumId w:val="8"/>
  </w:num>
  <w:num w:numId="6" w16cid:durableId="1841919084">
    <w:abstractNumId w:val="15"/>
  </w:num>
  <w:num w:numId="7" w16cid:durableId="320307019">
    <w:abstractNumId w:val="2"/>
  </w:num>
  <w:num w:numId="8" w16cid:durableId="862523390">
    <w:abstractNumId w:val="6"/>
  </w:num>
  <w:num w:numId="9" w16cid:durableId="914779102">
    <w:abstractNumId w:val="27"/>
  </w:num>
  <w:num w:numId="10" w16cid:durableId="2075665014">
    <w:abstractNumId w:val="7"/>
  </w:num>
  <w:num w:numId="11" w16cid:durableId="818620421">
    <w:abstractNumId w:val="28"/>
  </w:num>
  <w:num w:numId="12" w16cid:durableId="1991859094">
    <w:abstractNumId w:val="16"/>
  </w:num>
  <w:num w:numId="13" w16cid:durableId="1429883531">
    <w:abstractNumId w:val="5"/>
  </w:num>
  <w:num w:numId="14" w16cid:durableId="1824660490">
    <w:abstractNumId w:val="3"/>
  </w:num>
  <w:num w:numId="15" w16cid:durableId="1383363040">
    <w:abstractNumId w:val="1"/>
  </w:num>
  <w:num w:numId="16" w16cid:durableId="1526168084">
    <w:abstractNumId w:val="19"/>
  </w:num>
  <w:num w:numId="17" w16cid:durableId="1218202339">
    <w:abstractNumId w:val="11"/>
  </w:num>
  <w:num w:numId="18" w16cid:durableId="1018432367">
    <w:abstractNumId w:val="18"/>
  </w:num>
  <w:num w:numId="19" w16cid:durableId="1670908646">
    <w:abstractNumId w:val="10"/>
  </w:num>
  <w:num w:numId="20" w16cid:durableId="1372920534">
    <w:abstractNumId w:val="4"/>
  </w:num>
  <w:num w:numId="21" w16cid:durableId="1203863396">
    <w:abstractNumId w:val="17"/>
  </w:num>
  <w:num w:numId="22" w16cid:durableId="2051607094">
    <w:abstractNumId w:val="22"/>
  </w:num>
  <w:num w:numId="23" w16cid:durableId="2029603008">
    <w:abstractNumId w:val="29"/>
  </w:num>
  <w:num w:numId="24" w16cid:durableId="853618856">
    <w:abstractNumId w:val="31"/>
  </w:num>
  <w:num w:numId="25" w16cid:durableId="1814565906">
    <w:abstractNumId w:val="30"/>
  </w:num>
  <w:num w:numId="26" w16cid:durableId="814958108">
    <w:abstractNumId w:val="24"/>
  </w:num>
  <w:num w:numId="27" w16cid:durableId="1083338827">
    <w:abstractNumId w:val="12"/>
  </w:num>
  <w:num w:numId="28" w16cid:durableId="1394699951">
    <w:abstractNumId w:val="23"/>
  </w:num>
  <w:num w:numId="29" w16cid:durableId="1884830843">
    <w:abstractNumId w:val="26"/>
  </w:num>
  <w:num w:numId="30" w16cid:durableId="674765287">
    <w:abstractNumId w:val="25"/>
  </w:num>
  <w:num w:numId="31" w16cid:durableId="985089919">
    <w:abstractNumId w:val="9"/>
  </w:num>
  <w:num w:numId="32" w16cid:durableId="69469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C2"/>
    <w:rsid w:val="0009759D"/>
    <w:rsid w:val="000A5734"/>
    <w:rsid w:val="000C42ED"/>
    <w:rsid w:val="000D658A"/>
    <w:rsid w:val="001237C4"/>
    <w:rsid w:val="001272D0"/>
    <w:rsid w:val="00157852"/>
    <w:rsid w:val="00187235"/>
    <w:rsid w:val="00333DC2"/>
    <w:rsid w:val="00354E3D"/>
    <w:rsid w:val="00376098"/>
    <w:rsid w:val="003A192D"/>
    <w:rsid w:val="003C6AE1"/>
    <w:rsid w:val="003D19FE"/>
    <w:rsid w:val="004017A2"/>
    <w:rsid w:val="00415388"/>
    <w:rsid w:val="00420789"/>
    <w:rsid w:val="00441200"/>
    <w:rsid w:val="00461DF4"/>
    <w:rsid w:val="004A1FED"/>
    <w:rsid w:val="004E01AE"/>
    <w:rsid w:val="00543C25"/>
    <w:rsid w:val="00563334"/>
    <w:rsid w:val="005B3D51"/>
    <w:rsid w:val="005C3975"/>
    <w:rsid w:val="00623ED2"/>
    <w:rsid w:val="00626727"/>
    <w:rsid w:val="00646CEB"/>
    <w:rsid w:val="006E4F6D"/>
    <w:rsid w:val="00731F22"/>
    <w:rsid w:val="0074149B"/>
    <w:rsid w:val="007802BB"/>
    <w:rsid w:val="007E5562"/>
    <w:rsid w:val="00885C2E"/>
    <w:rsid w:val="008F3C1D"/>
    <w:rsid w:val="009644F3"/>
    <w:rsid w:val="009A693A"/>
    <w:rsid w:val="009D3E21"/>
    <w:rsid w:val="00A67FBB"/>
    <w:rsid w:val="00A82A8E"/>
    <w:rsid w:val="00A94889"/>
    <w:rsid w:val="00AE6998"/>
    <w:rsid w:val="00AF1A07"/>
    <w:rsid w:val="00B12CD9"/>
    <w:rsid w:val="00B1566E"/>
    <w:rsid w:val="00B52667"/>
    <w:rsid w:val="00BB0F1A"/>
    <w:rsid w:val="00C06207"/>
    <w:rsid w:val="00C62613"/>
    <w:rsid w:val="00C8458B"/>
    <w:rsid w:val="00D830F5"/>
    <w:rsid w:val="00DC1E7B"/>
    <w:rsid w:val="00E70402"/>
    <w:rsid w:val="00F377D4"/>
    <w:rsid w:val="00F66A05"/>
    <w:rsid w:val="00FA23A2"/>
    <w:rsid w:val="00FC49D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48E4"/>
  <w15:chartTrackingRefBased/>
  <w15:docId w15:val="{82FBA301-8416-4172-808E-9B8D0488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C2"/>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333DC2"/>
    <w:pPr>
      <w:spacing w:after="0" w:line="240" w:lineRule="auto"/>
    </w:pPr>
    <w:rPr>
      <w:kern w:val="0"/>
      <w:lang w:val="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B0F1A"/>
    <w:pPr>
      <w:ind w:left="720"/>
      <w:contextualSpacing/>
    </w:pPr>
  </w:style>
  <w:style w:type="table" w:styleId="TableGrid">
    <w:name w:val="Table Grid"/>
    <w:basedOn w:val="TableNormal"/>
    <w:uiPriority w:val="39"/>
    <w:rsid w:val="006E4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E4F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0474">
      <w:bodyDiv w:val="1"/>
      <w:marLeft w:val="0"/>
      <w:marRight w:val="0"/>
      <w:marTop w:val="0"/>
      <w:marBottom w:val="0"/>
      <w:divBdr>
        <w:top w:val="none" w:sz="0" w:space="0" w:color="auto"/>
        <w:left w:val="none" w:sz="0" w:space="0" w:color="auto"/>
        <w:bottom w:val="none" w:sz="0" w:space="0" w:color="auto"/>
        <w:right w:val="none" w:sz="0" w:space="0" w:color="auto"/>
      </w:divBdr>
    </w:div>
    <w:div w:id="228853573">
      <w:bodyDiv w:val="1"/>
      <w:marLeft w:val="0"/>
      <w:marRight w:val="0"/>
      <w:marTop w:val="0"/>
      <w:marBottom w:val="0"/>
      <w:divBdr>
        <w:top w:val="none" w:sz="0" w:space="0" w:color="auto"/>
        <w:left w:val="none" w:sz="0" w:space="0" w:color="auto"/>
        <w:bottom w:val="none" w:sz="0" w:space="0" w:color="auto"/>
        <w:right w:val="none" w:sz="0" w:space="0" w:color="auto"/>
      </w:divBdr>
    </w:div>
    <w:div w:id="483012884">
      <w:bodyDiv w:val="1"/>
      <w:marLeft w:val="0"/>
      <w:marRight w:val="0"/>
      <w:marTop w:val="0"/>
      <w:marBottom w:val="0"/>
      <w:divBdr>
        <w:top w:val="none" w:sz="0" w:space="0" w:color="auto"/>
        <w:left w:val="none" w:sz="0" w:space="0" w:color="auto"/>
        <w:bottom w:val="none" w:sz="0" w:space="0" w:color="auto"/>
        <w:right w:val="none" w:sz="0" w:space="0" w:color="auto"/>
      </w:divBdr>
    </w:div>
    <w:div w:id="571162067">
      <w:bodyDiv w:val="1"/>
      <w:marLeft w:val="0"/>
      <w:marRight w:val="0"/>
      <w:marTop w:val="0"/>
      <w:marBottom w:val="0"/>
      <w:divBdr>
        <w:top w:val="none" w:sz="0" w:space="0" w:color="auto"/>
        <w:left w:val="none" w:sz="0" w:space="0" w:color="auto"/>
        <w:bottom w:val="none" w:sz="0" w:space="0" w:color="auto"/>
        <w:right w:val="none" w:sz="0" w:space="0" w:color="auto"/>
      </w:divBdr>
    </w:div>
    <w:div w:id="604076200">
      <w:bodyDiv w:val="1"/>
      <w:marLeft w:val="0"/>
      <w:marRight w:val="0"/>
      <w:marTop w:val="0"/>
      <w:marBottom w:val="0"/>
      <w:divBdr>
        <w:top w:val="none" w:sz="0" w:space="0" w:color="auto"/>
        <w:left w:val="none" w:sz="0" w:space="0" w:color="auto"/>
        <w:bottom w:val="none" w:sz="0" w:space="0" w:color="auto"/>
        <w:right w:val="none" w:sz="0" w:space="0" w:color="auto"/>
      </w:divBdr>
    </w:div>
    <w:div w:id="606699452">
      <w:bodyDiv w:val="1"/>
      <w:marLeft w:val="0"/>
      <w:marRight w:val="0"/>
      <w:marTop w:val="0"/>
      <w:marBottom w:val="0"/>
      <w:divBdr>
        <w:top w:val="none" w:sz="0" w:space="0" w:color="auto"/>
        <w:left w:val="none" w:sz="0" w:space="0" w:color="auto"/>
        <w:bottom w:val="none" w:sz="0" w:space="0" w:color="auto"/>
        <w:right w:val="none" w:sz="0" w:space="0" w:color="auto"/>
      </w:divBdr>
    </w:div>
    <w:div w:id="887491959">
      <w:bodyDiv w:val="1"/>
      <w:marLeft w:val="0"/>
      <w:marRight w:val="0"/>
      <w:marTop w:val="0"/>
      <w:marBottom w:val="0"/>
      <w:divBdr>
        <w:top w:val="none" w:sz="0" w:space="0" w:color="auto"/>
        <w:left w:val="none" w:sz="0" w:space="0" w:color="auto"/>
        <w:bottom w:val="none" w:sz="0" w:space="0" w:color="auto"/>
        <w:right w:val="none" w:sz="0" w:space="0" w:color="auto"/>
      </w:divBdr>
    </w:div>
    <w:div w:id="1776897746">
      <w:bodyDiv w:val="1"/>
      <w:marLeft w:val="0"/>
      <w:marRight w:val="0"/>
      <w:marTop w:val="0"/>
      <w:marBottom w:val="0"/>
      <w:divBdr>
        <w:top w:val="none" w:sz="0" w:space="0" w:color="auto"/>
        <w:left w:val="none" w:sz="0" w:space="0" w:color="auto"/>
        <w:bottom w:val="none" w:sz="0" w:space="0" w:color="auto"/>
        <w:right w:val="none" w:sz="0" w:space="0" w:color="auto"/>
      </w:divBdr>
    </w:div>
    <w:div w:id="1793867204">
      <w:bodyDiv w:val="1"/>
      <w:marLeft w:val="0"/>
      <w:marRight w:val="0"/>
      <w:marTop w:val="0"/>
      <w:marBottom w:val="0"/>
      <w:divBdr>
        <w:top w:val="none" w:sz="0" w:space="0" w:color="auto"/>
        <w:left w:val="none" w:sz="0" w:space="0" w:color="auto"/>
        <w:bottom w:val="none" w:sz="0" w:space="0" w:color="auto"/>
        <w:right w:val="none" w:sz="0" w:space="0" w:color="auto"/>
      </w:divBdr>
    </w:div>
    <w:div w:id="1869682387">
      <w:bodyDiv w:val="1"/>
      <w:marLeft w:val="0"/>
      <w:marRight w:val="0"/>
      <w:marTop w:val="0"/>
      <w:marBottom w:val="0"/>
      <w:divBdr>
        <w:top w:val="none" w:sz="0" w:space="0" w:color="auto"/>
        <w:left w:val="none" w:sz="0" w:space="0" w:color="auto"/>
        <w:bottom w:val="none" w:sz="0" w:space="0" w:color="auto"/>
        <w:right w:val="none" w:sz="0" w:space="0" w:color="auto"/>
      </w:divBdr>
    </w:div>
    <w:div w:id="1879118946">
      <w:bodyDiv w:val="1"/>
      <w:marLeft w:val="0"/>
      <w:marRight w:val="0"/>
      <w:marTop w:val="0"/>
      <w:marBottom w:val="0"/>
      <w:divBdr>
        <w:top w:val="none" w:sz="0" w:space="0" w:color="auto"/>
        <w:left w:val="none" w:sz="0" w:space="0" w:color="auto"/>
        <w:bottom w:val="none" w:sz="0" w:space="0" w:color="auto"/>
        <w:right w:val="none" w:sz="0" w:space="0" w:color="auto"/>
      </w:divBdr>
    </w:div>
    <w:div w:id="200018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Ahmad</dc:creator>
  <cp:keywords/>
  <dc:description/>
  <cp:lastModifiedBy>Bilal Ahmad</cp:lastModifiedBy>
  <cp:revision>59</cp:revision>
  <dcterms:created xsi:type="dcterms:W3CDTF">2023-05-28T16:09:00Z</dcterms:created>
  <dcterms:modified xsi:type="dcterms:W3CDTF">2023-05-28T18:01:00Z</dcterms:modified>
</cp:coreProperties>
</file>