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2AE35">
      <w:pPr>
        <w:pStyle w:val="5"/>
        <w:keepNext w:val="0"/>
        <w:keepLines w:val="0"/>
        <w:widowControl/>
        <w:suppressLineNumbers w:val="0"/>
      </w:pPr>
      <w:r>
        <w:t>会议主题：广东电网省级直流系统建设规划</w:t>
      </w:r>
    </w:p>
    <w:p w14:paraId="0BF86CC7">
      <w:pPr>
        <w:pStyle w:val="5"/>
        <w:keepNext w:val="0"/>
        <w:keepLines w:val="0"/>
        <w:widowControl/>
        <w:suppressLineNumbers w:val="0"/>
      </w:pPr>
      <w:r>
        <w:t>一、系统建设背景与定位</w:t>
      </w:r>
    </w:p>
    <w:p w14:paraId="73D0AE6F">
      <w:pPr>
        <w:pStyle w:val="5"/>
        <w:keepNext w:val="0"/>
        <w:keepLines w:val="0"/>
        <w:widowControl/>
        <w:suppressLineNumbers w:val="0"/>
      </w:pPr>
      <w:r>
        <w:t>三山岛变电站建设现状：三山岛变电站作为省级直流系统建设的核心工程，当前已完成变电站运行支持系统建设，但未接入直流设备模块，仅通过二次设备进行数据采集。</w:t>
      </w:r>
    </w:p>
    <w:p w14:paraId="78AA1C5F">
      <w:pPr>
        <w:pStyle w:val="5"/>
        <w:keepNext w:val="0"/>
        <w:keepLines w:val="0"/>
        <w:widowControl/>
        <w:suppressLineNumbers w:val="0"/>
      </w:pPr>
      <w:r>
        <w:t>专业部署调整依据：根据网络公司系统建设指南，书店（专业系统）不符合编策建设要求，因此书店部署在省测层级，边特区域仅保留变电专业建设权限，海缆与通信路建设同步在省测完成。</w:t>
      </w:r>
    </w:p>
    <w:p w14:paraId="217B1B8F">
      <w:pPr>
        <w:pStyle w:val="5"/>
        <w:keepNext w:val="0"/>
        <w:keepLines w:val="0"/>
        <w:widowControl/>
        <w:suppressLineNumbers w:val="0"/>
      </w:pPr>
      <w:r>
        <w:t>系统数据架构设计：参考华为等企业数据架构模型，构建包含直流工程、储能模块的统一数据平台，与电科院在线监测系统、网集系统建立数据交互机制，实现地市直流系统向省级平台的集中接入。</w:t>
      </w:r>
    </w:p>
    <w:p w14:paraId="2787C4E9">
      <w:pPr>
        <w:pStyle w:val="5"/>
        <w:keepNext w:val="0"/>
        <w:keepLines w:val="0"/>
        <w:widowControl/>
        <w:suppressLineNumbers w:val="0"/>
      </w:pPr>
      <w:r>
        <w:t>二、核心应用功能规划</w:t>
      </w:r>
    </w:p>
    <w:p w14:paraId="719FA979">
      <w:pPr>
        <w:pStyle w:val="5"/>
        <w:keepNext w:val="0"/>
        <w:keepLines w:val="0"/>
        <w:widowControl/>
        <w:suppressLineNumbers w:val="0"/>
      </w:pPr>
      <w:r>
        <w:t>2.1 特色应用建设重点</w:t>
      </w:r>
    </w:p>
    <w:p w14:paraId="2E52F064">
      <w:pPr>
        <w:pStyle w:val="5"/>
        <w:keepNext w:val="0"/>
        <w:keepLines w:val="0"/>
        <w:widowControl/>
        <w:suppressLineNumbers w:val="0"/>
      </w:pPr>
      <w:r>
        <w:t>智能诊断融合技术：基于超压变电经验系统，整合设备分析与运维模块，重点突出直流系统的自动融合诊断功能，形成区别于其他系统的特色应用。</w:t>
      </w:r>
    </w:p>
    <w:p w14:paraId="3AF7339B">
      <w:pPr>
        <w:pStyle w:val="5"/>
        <w:keepNext w:val="0"/>
        <w:keepLines w:val="0"/>
        <w:widowControl/>
        <w:suppressLineNumbers w:val="0"/>
      </w:pPr>
      <w:r>
        <w:t>三维建模应用方向：在设备管理页面和"指哪看哪"功能中引入三维建模技术，但需明确该技术主要应用于省级管控平台而非站端本地。</w:t>
      </w:r>
    </w:p>
    <w:p w14:paraId="22E25381">
      <w:pPr>
        <w:pStyle w:val="5"/>
        <w:keepNext w:val="0"/>
        <w:keepLines w:val="0"/>
        <w:widowControl/>
        <w:suppressLineNumbers w:val="0"/>
      </w:pPr>
      <w:r>
        <w:t>终端统筹调度机制：建立摄像头、无人机、机器人等多终端协同调度系统，通过算法策略推荐最优巡检方式（如站内优先使用摄像头，规避无人机碰撞风险）。</w:t>
      </w:r>
    </w:p>
    <w:p w14:paraId="4905DDFC">
      <w:pPr>
        <w:pStyle w:val="5"/>
        <w:keepNext w:val="0"/>
        <w:keepLines w:val="0"/>
        <w:widowControl/>
        <w:suppressLineNumbers w:val="0"/>
      </w:pPr>
      <w:r>
        <w:t>2.2 电力机器人功能扩展</w:t>
      </w:r>
    </w:p>
    <w:p w14:paraId="49B09F1F">
      <w:pPr>
        <w:pStyle w:val="5"/>
        <w:keepNext w:val="0"/>
        <w:keepLines w:val="0"/>
        <w:widowControl/>
        <w:suppressLineNumbers w:val="0"/>
      </w:pPr>
      <w:r>
        <w:t>后台管理功能：实现机器人台账管理及单设备控制功能，作为未来扩展操作功能的技术储备。</w:t>
      </w:r>
    </w:p>
    <w:p w14:paraId="7384DB81">
      <w:pPr>
        <w:pStyle w:val="5"/>
        <w:keepNext w:val="0"/>
        <w:keepLines w:val="0"/>
        <w:widowControl/>
        <w:suppressLineNumbers w:val="0"/>
      </w:pPr>
      <w:r>
        <w:t>控制模块现状：当前电力机器人控制功能尚未完善，需优先处理其他基础模块开发。</w:t>
      </w:r>
    </w:p>
    <w:p w14:paraId="6247EA60">
      <w:pPr>
        <w:pStyle w:val="5"/>
        <w:keepNext w:val="0"/>
        <w:keepLines w:val="0"/>
        <w:widowControl/>
        <w:suppressLineNumbers w:val="0"/>
      </w:pPr>
      <w:r>
        <w:t>三、后续工作安排</w:t>
      </w:r>
    </w:p>
    <w:p w14:paraId="06301F2F">
      <w:pPr>
        <w:pStyle w:val="5"/>
        <w:keepNext w:val="0"/>
        <w:keepLines w:val="0"/>
        <w:widowControl/>
        <w:suppressLineNumbers w:val="0"/>
      </w:pPr>
      <w:r>
        <w:t>材料提交节点：新科部门要求本周提交系统建设材料，初步版本需包含整体思路与分页框架（负责人：说话人1及审计部团队）。</w:t>
      </w:r>
    </w:p>
    <w:p w14:paraId="1B284F53">
      <w:pPr>
        <w:pStyle w:val="5"/>
        <w:keepNext w:val="0"/>
        <w:keepLines w:val="0"/>
        <w:widowControl/>
        <w:suppressLineNumbers w:val="0"/>
      </w:pPr>
      <w:r>
        <w:t>集中办公协调：建议审计部团队在本会议室集中办公以提高协作效率，因会议室资源紧张，暂定周末返回各自工位编写材料。</w:t>
      </w:r>
    </w:p>
    <w:p w14:paraId="1C9D333A">
      <w:pPr>
        <w:pStyle w:val="6"/>
        <w:keepNext w:val="0"/>
        <w:keepLines w:val="0"/>
        <w:widowControl/>
        <w:suppressLineNumbers w:val="0"/>
      </w:pPr>
      <w:r>
        <w:t>技术规范确认：需核查三山岛变电站直流设备接入方式及阀组件数据流向，确认其通过调度系统中转（一区架构）的传输路径。</w:t>
      </w:r>
    </w:p>
    <w:p w14:paraId="33ECCFB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br w:type="textWrapping"/>
      </w:r>
      <w:r>
        <w:br w:type="textWrapping"/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1.</w:t>
      </w:r>
      <w:r>
        <w:rPr>
          <w:rFonts w:ascii="PingFang SC" w:hAnsi="PingFang SC" w:eastAsia="PingFang SC" w:cs="PingFang SC"/>
          <w:kern w:val="0"/>
          <w:sz w:val="26"/>
          <w:szCs w:val="26"/>
          <w:lang w:val="en-US" w:eastAsia="zh-CN" w:bidi="ar"/>
        </w:rPr>
        <w:t>从工程的角度，把直流管控起来；</w:t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br w:type="textWrapping"/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2.</w:t>
      </w:r>
      <w:r>
        <w:rPr>
          <w:rFonts w:ascii="PingFang SC" w:hAnsi="PingFang SC" w:eastAsia="PingFang SC" w:cs="PingFang SC"/>
          <w:kern w:val="0"/>
          <w:sz w:val="26"/>
          <w:szCs w:val="26"/>
          <w:lang w:val="en-US" w:eastAsia="zh-CN" w:bidi="ar"/>
        </w:rPr>
        <w:t>把全省直流系统接入进来；</w:t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br w:type="textWrapping"/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3.</w:t>
      </w:r>
      <w:r>
        <w:rPr>
          <w:rFonts w:ascii="PingFang SC" w:hAnsi="PingFang SC" w:eastAsia="PingFang SC" w:cs="PingFang SC"/>
          <w:kern w:val="0"/>
          <w:sz w:val="26"/>
          <w:szCs w:val="26"/>
          <w:lang w:val="en-US" w:eastAsia="zh-CN" w:bidi="ar"/>
        </w:rPr>
        <w:t>说清楚三山岛整个系统建设结构，建设现状；</w:t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br w:type="textWrapping"/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4.</w:t>
      </w:r>
      <w:r>
        <w:rPr>
          <w:rFonts w:ascii="PingFang SC" w:hAnsi="PingFang SC" w:eastAsia="PingFang SC" w:cs="PingFang SC"/>
          <w:kern w:val="0"/>
          <w:sz w:val="26"/>
          <w:szCs w:val="26"/>
          <w:lang w:val="en-US" w:eastAsia="zh-CN" w:bidi="ar"/>
        </w:rPr>
        <w:t>需要从架构图确认下是否只有阀门阀厅，没有二次设备，并提一下应用情况；</w:t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br w:type="textWrapping"/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5.</w:t>
      </w:r>
      <w:r>
        <w:rPr>
          <w:rFonts w:ascii="PingFang SC" w:hAnsi="PingFang SC" w:eastAsia="PingFang SC" w:cs="PingFang SC"/>
          <w:kern w:val="0"/>
          <w:sz w:val="26"/>
          <w:szCs w:val="26"/>
          <w:lang w:val="en-US" w:eastAsia="zh-CN" w:bidi="ar"/>
        </w:rPr>
        <w:t>边侧不满足输电建设要求，所以仅保留省侧；</w:t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br w:type="textWrapping"/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6.</w:t>
      </w:r>
      <w:r>
        <w:rPr>
          <w:rFonts w:ascii="PingFang SC" w:hAnsi="PingFang SC" w:eastAsia="PingFang SC" w:cs="PingFang SC"/>
          <w:kern w:val="0"/>
          <w:sz w:val="26"/>
          <w:szCs w:val="26"/>
          <w:lang w:val="en-US" w:eastAsia="zh-CN" w:bidi="ar"/>
        </w:rPr>
        <w:t>数据架构样式可参考华为只会变电解决方案内容样式；</w:t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br w:type="textWrapping"/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7.</w:t>
      </w:r>
      <w:r>
        <w:rPr>
          <w:rFonts w:ascii="PingFang SC" w:hAnsi="PingFang SC" w:eastAsia="PingFang SC" w:cs="PingFang SC"/>
          <w:kern w:val="0"/>
          <w:sz w:val="26"/>
          <w:szCs w:val="26"/>
          <w:lang w:val="en-US" w:eastAsia="zh-CN" w:bidi="ar"/>
        </w:rPr>
        <w:t>储能模块等后续材料提供；</w:t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br w:type="textWrapping"/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8.</w:t>
      </w:r>
      <w:r>
        <w:rPr>
          <w:rFonts w:ascii="PingFang SC" w:hAnsi="PingFang SC" w:eastAsia="PingFang SC" w:cs="PingFang SC"/>
          <w:kern w:val="0"/>
          <w:sz w:val="26"/>
          <w:szCs w:val="26"/>
          <w:lang w:val="en-US" w:eastAsia="zh-CN" w:bidi="ar"/>
        </w:rPr>
        <w:t>将已有边侧直流系统的各地市接入省侧；</w:t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br w:type="textWrapping"/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9.</w:t>
      </w:r>
      <w:r>
        <w:rPr>
          <w:rFonts w:ascii="PingFang SC" w:hAnsi="PingFang SC" w:eastAsia="PingFang SC" w:cs="PingFang SC"/>
          <w:kern w:val="0"/>
          <w:sz w:val="26"/>
          <w:szCs w:val="26"/>
          <w:lang w:val="en-US" w:eastAsia="zh-CN" w:bidi="ar"/>
        </w:rPr>
        <w:t>应用建设常规不提，以亮点应用为主；</w:t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br w:type="textWrapping"/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10.</w:t>
      </w:r>
      <w:r>
        <w:rPr>
          <w:rFonts w:ascii="PingFang SC" w:hAnsi="PingFang SC" w:eastAsia="PingFang SC" w:cs="PingFang SC"/>
          <w:kern w:val="0"/>
          <w:sz w:val="26"/>
          <w:szCs w:val="26"/>
          <w:lang w:val="en-US" w:eastAsia="zh-CN" w:bidi="ar"/>
        </w:rPr>
        <w:t>讲解应用以业务为主，技术仅需要很小一部分</w:t>
      </w:r>
      <w:r>
        <w:rPr>
          <w:rFonts w:hint="eastAsia" w:ascii="PingFang SC" w:hAnsi="PingFang SC" w:eastAsia="PingFang SC" w:cs="PingFang SC"/>
          <w:kern w:val="0"/>
          <w:sz w:val="26"/>
          <w:szCs w:val="26"/>
          <w:lang w:val="en-US" w:eastAsia="zh-CN" w:bidi="ar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DF14DEA"/>
    <w:rsid w:val="EBA3A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character" w:customStyle="1" w:styleId="7">
    <w:name w:val="s1"/>
    <w:basedOn w:val="4"/>
    <w:uiPriority w:val="0"/>
    <w:rPr>
      <w:rFonts w:hint="default" w:ascii="Helvetica Neue" w:hAnsi="Helvetica Neue" w:eastAsia="Helvetica Neue" w:cs="Helvetica Neue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旭斯</cp:lastModifiedBy>
  <dcterms:modified xsi:type="dcterms:W3CDTF">2026-03-13T13:44:48Z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7CD85D9BC3C439ECFE828868C9F27BF0_41</vt:lpwstr>
  </property>
</Properties>
</file>