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8FD0F" w14:textId="77777777" w:rsidR="0085588B" w:rsidRDefault="0085588B" w:rsidP="0085588B">
      <w:pPr>
        <w:pStyle w:val="Heading1"/>
        <w:spacing w:before="0" w:after="120"/>
        <w:rPr>
          <w:rFonts w:ascii="Arial" w:hAnsi="Arial" w:cs="Arial"/>
          <w:color w:val="1F1F1F"/>
        </w:rPr>
      </w:pPr>
      <w:r>
        <w:rPr>
          <w:rFonts w:ascii="Arial" w:hAnsi="Arial" w:cs="Arial"/>
          <w:color w:val="1F1F1F"/>
        </w:rPr>
        <w:t xml:space="preserve">Global Economic Implications of China's High-End Manufacturing Expansion: </w:t>
      </w:r>
      <w:proofErr w:type="spellStart"/>
      <w:r>
        <w:rPr>
          <w:rFonts w:ascii="Arial" w:hAnsi="Arial" w:cs="Arial"/>
          <w:color w:val="1F1F1F"/>
        </w:rPr>
        <w:t>Analyzing</w:t>
      </w:r>
      <w:proofErr w:type="spellEnd"/>
      <w:r>
        <w:rPr>
          <w:rFonts w:ascii="Arial" w:hAnsi="Arial" w:cs="Arial"/>
          <w:color w:val="1F1F1F"/>
        </w:rPr>
        <w:t xml:space="preserve"> the Second China Shock</w:t>
      </w:r>
    </w:p>
    <w:p w14:paraId="63811CAA" w14:textId="77777777" w:rsidR="0085588B" w:rsidRDefault="0085588B" w:rsidP="0085588B">
      <w:pPr>
        <w:pStyle w:val="Heading2"/>
        <w:spacing w:before="0" w:after="120"/>
        <w:rPr>
          <w:rFonts w:ascii="Arial" w:hAnsi="Arial" w:cs="Arial"/>
          <w:color w:val="1F1F1F"/>
        </w:rPr>
      </w:pPr>
      <w:r>
        <w:rPr>
          <w:rFonts w:ascii="Arial" w:hAnsi="Arial" w:cs="Arial"/>
          <w:color w:val="1F1F1F"/>
        </w:rPr>
        <w:t>I. Executive Summary: Systemic Risk and the New Global Trade Equation</w:t>
      </w:r>
    </w:p>
    <w:p w14:paraId="6B3580A5"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The global economic landscape is undergoing a profound structural shift driven by the systematic expansion of China's manufacturing base into advanced, high-technology sectors. This development, termed "China Shock 2.0," fundamentally differs from the post-WTO accession period (China Shock 1.0) by moving beyond labor-cost competition to state-backed, high-technology substitution competition. While the initial wave primarily displaced low-skilled labor in import-reliant economies such as the United States </w:t>
      </w:r>
      <w:r>
        <w:rPr>
          <w:rFonts w:ascii="Arial" w:hAnsi="Arial" w:cs="Arial"/>
          <w:color w:val="444746"/>
          <w:bdr w:val="none" w:sz="0" w:space="0" w:color="auto" w:frame="1"/>
          <w:vertAlign w:val="superscript"/>
        </w:rPr>
        <w:t>1</w:t>
      </w:r>
      <w:r>
        <w:rPr>
          <w:rFonts w:ascii="Arial" w:hAnsi="Arial" w:cs="Arial"/>
          <w:color w:val="1F1F1F"/>
          <w:bdr w:val="none" w:sz="0" w:space="0" w:color="auto" w:frame="1"/>
        </w:rPr>
        <w:t>, the current shock targets the core industrial engines of advanced economies, notably the German automotive and machinery sectors.</w:t>
      </w:r>
      <w:r>
        <w:rPr>
          <w:rFonts w:ascii="Arial" w:hAnsi="Arial" w:cs="Arial"/>
          <w:color w:val="444746"/>
          <w:bdr w:val="none" w:sz="0" w:space="0" w:color="auto" w:frame="1"/>
          <w:vertAlign w:val="superscript"/>
        </w:rPr>
        <w:t>2</w:t>
      </w:r>
    </w:p>
    <w:p w14:paraId="7E952071"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The implications are overwhelmingly characterized by a qualitative shift in global competitive dynamics and geographic exposure. Europe and Advanced Asia (Japan and South Korea) have replaced the US manufacturing sector as the primary zones of industrial competition.</w:t>
      </w:r>
      <w:r>
        <w:rPr>
          <w:rFonts w:ascii="Arial" w:hAnsi="Arial" w:cs="Arial"/>
          <w:color w:val="444746"/>
          <w:bdr w:val="none" w:sz="0" w:space="0" w:color="auto" w:frame="1"/>
          <w:vertAlign w:val="superscript"/>
        </w:rPr>
        <w:t>3</w:t>
      </w:r>
      <w:r>
        <w:rPr>
          <w:rFonts w:ascii="Arial" w:hAnsi="Arial" w:cs="Arial"/>
          <w:color w:val="1F1F1F"/>
          <w:bdr w:val="none" w:sz="0" w:space="0" w:color="auto" w:frame="1"/>
        </w:rPr>
        <w:t xml:space="preserve"> Emerging Markets (EMs) face a complex development paradox: they can benefit from technological "leapfrogging" using cheap green technology </w:t>
      </w:r>
      <w:r>
        <w:rPr>
          <w:rFonts w:ascii="Arial" w:hAnsi="Arial" w:cs="Arial"/>
          <w:color w:val="444746"/>
          <w:bdr w:val="none" w:sz="0" w:space="0" w:color="auto" w:frame="1"/>
          <w:vertAlign w:val="superscript"/>
        </w:rPr>
        <w:t>5</w:t>
      </w:r>
      <w:r>
        <w:rPr>
          <w:rFonts w:ascii="Arial" w:hAnsi="Arial" w:cs="Arial"/>
          <w:color w:val="1F1F1F"/>
          <w:bdr w:val="none" w:sz="0" w:space="0" w:color="auto" w:frame="1"/>
        </w:rPr>
        <w:t>, but this comes at the critical risk of domestic deindustrialization as their nascent manufacturing sectors are undercut.</w:t>
      </w:r>
      <w:r>
        <w:rPr>
          <w:rFonts w:ascii="Arial" w:hAnsi="Arial" w:cs="Arial"/>
          <w:color w:val="444746"/>
          <w:bdr w:val="none" w:sz="0" w:space="0" w:color="auto" w:frame="1"/>
          <w:vertAlign w:val="superscript"/>
        </w:rPr>
        <w:t>4</w:t>
      </w:r>
    </w:p>
    <w:p w14:paraId="3A0A7B79"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Macroeconomically, the immediate effect of China’s export surge, fueled by domestic overcapacity, is strongly disinflationary.</w:t>
      </w:r>
      <w:r>
        <w:rPr>
          <w:rFonts w:ascii="Arial" w:hAnsi="Arial" w:cs="Arial"/>
          <w:color w:val="444746"/>
          <w:bdr w:val="none" w:sz="0" w:space="0" w:color="auto" w:frame="1"/>
          <w:vertAlign w:val="superscript"/>
        </w:rPr>
        <w:t>6</w:t>
      </w:r>
      <w:r>
        <w:rPr>
          <w:rFonts w:ascii="Arial" w:hAnsi="Arial" w:cs="Arial"/>
          <w:color w:val="1F1F1F"/>
          <w:bdr w:val="none" w:sz="0" w:space="0" w:color="auto" w:frame="1"/>
        </w:rPr>
        <w:t xml:space="preserve"> However, this trend is contingent on the persistence of China's domestic economic weakness and export-facilitating policies. Should China successfully implement policy reforms to curb wasteful domestic competition and strengthen internal demand, this deflationary impulse could abate or even reverse </w:t>
      </w:r>
      <w:r>
        <w:rPr>
          <w:rFonts w:ascii="Arial" w:hAnsi="Arial" w:cs="Arial"/>
          <w:color w:val="444746"/>
          <w:bdr w:val="none" w:sz="0" w:space="0" w:color="auto" w:frame="1"/>
          <w:vertAlign w:val="superscript"/>
        </w:rPr>
        <w:t>7</w:t>
      </w:r>
      <w:r>
        <w:rPr>
          <w:rFonts w:ascii="Arial" w:hAnsi="Arial" w:cs="Arial"/>
          <w:color w:val="1F1F1F"/>
          <w:bdr w:val="none" w:sz="0" w:space="0" w:color="auto" w:frame="1"/>
        </w:rPr>
        <w:t>, introducing significant medium-term uncertainty for global monetary policy paths. This transformation necessitates systemic policy responses focusing on industrial resilience and strategic trade mechanisms rather than reliance on traditional anti-dumping tools.</w:t>
      </w:r>
    </w:p>
    <w:p w14:paraId="3F2FA481" w14:textId="77777777" w:rsidR="0085588B" w:rsidRDefault="0085588B" w:rsidP="0085588B">
      <w:pPr>
        <w:pStyle w:val="Heading2"/>
        <w:spacing w:before="0" w:after="120"/>
        <w:rPr>
          <w:rFonts w:ascii="Arial" w:hAnsi="Arial" w:cs="Arial"/>
          <w:color w:val="1F1F1F"/>
        </w:rPr>
      </w:pPr>
      <w:r>
        <w:rPr>
          <w:rFonts w:ascii="Arial" w:hAnsi="Arial" w:cs="Arial"/>
          <w:color w:val="1F1F1F"/>
        </w:rPr>
        <w:t>II. Defining the Template: Characteristics and Legacy of China Shock 1.0 (2000-2015)</w:t>
      </w:r>
    </w:p>
    <w:p w14:paraId="21C6B0A6" w14:textId="77777777" w:rsidR="0085588B" w:rsidRDefault="0085588B" w:rsidP="0085588B">
      <w:pPr>
        <w:pStyle w:val="Heading3"/>
        <w:spacing w:before="0" w:after="120"/>
        <w:rPr>
          <w:rFonts w:ascii="Arial" w:hAnsi="Arial" w:cs="Arial"/>
          <w:color w:val="1F1F1F"/>
        </w:rPr>
      </w:pPr>
      <w:r>
        <w:rPr>
          <w:rFonts w:ascii="Arial" w:hAnsi="Arial" w:cs="Arial"/>
          <w:color w:val="1F1F1F"/>
        </w:rPr>
        <w:t>2.1. The WTO Entry Catalyst and GVC Integration</w:t>
      </w:r>
    </w:p>
    <w:p w14:paraId="5E73843A"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China's accession to the World Trade Organization (WTO) in 2001 served as the primary catalyst for the first manufacturing shock. This integration allowed China to leverage its vast, low-cost labor force, fundamentally reshaping global value chains (GVCs).</w:t>
      </w:r>
      <w:r>
        <w:rPr>
          <w:rFonts w:ascii="Arial" w:hAnsi="Arial" w:cs="Arial"/>
          <w:color w:val="444746"/>
          <w:bdr w:val="none" w:sz="0" w:space="0" w:color="auto" w:frame="1"/>
          <w:vertAlign w:val="superscript"/>
        </w:rPr>
        <w:t>8</w:t>
      </w:r>
      <w:r>
        <w:rPr>
          <w:rFonts w:ascii="Arial" w:hAnsi="Arial" w:cs="Arial"/>
          <w:color w:val="1F1F1F"/>
          <w:bdr w:val="none" w:sz="0" w:space="0" w:color="auto" w:frame="1"/>
        </w:rPr>
        <w:t xml:space="preserve"> The subsequent economic impact on China was remarkably positive, with its economy growing eleven times larger than it was in 2001. The share of the population living in extreme poverty declined sharply, from 67% in 1990 to under 1% by 2015.</w:t>
      </w:r>
      <w:r>
        <w:rPr>
          <w:rFonts w:ascii="Arial" w:hAnsi="Arial" w:cs="Arial"/>
          <w:color w:val="444746"/>
          <w:bdr w:val="none" w:sz="0" w:space="0" w:color="auto" w:frame="1"/>
          <w:vertAlign w:val="superscript"/>
        </w:rPr>
        <w:t>9</w:t>
      </w:r>
    </w:p>
    <w:p w14:paraId="10A4A08E"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Globally, trade in goods between the United States and China soared from less than </w:t>
      </w:r>
      <w:r>
        <w:rPr>
          <w:rStyle w:val="math-inline"/>
          <w:rFonts w:ascii="Arial" w:eastAsiaTheme="majorEastAsia" w:hAnsi="Arial" w:cs="Arial"/>
          <w:color w:val="1F1F1F"/>
          <w:bdr w:val="none" w:sz="0" w:space="0" w:color="auto" w:frame="1"/>
        </w:rPr>
        <w:t>$\$100$</w:t>
      </w:r>
      <w:r>
        <w:rPr>
          <w:rFonts w:ascii="Arial" w:hAnsi="Arial" w:cs="Arial"/>
          <w:color w:val="1F1F1F"/>
          <w:bdr w:val="none" w:sz="0" w:space="0" w:color="auto" w:frame="1"/>
        </w:rPr>
        <w:t xml:space="preserve"> billion in 1999 to </w:t>
      </w:r>
      <w:r>
        <w:rPr>
          <w:rStyle w:val="math-inline"/>
          <w:rFonts w:ascii="Arial" w:eastAsiaTheme="majorEastAsia" w:hAnsi="Arial" w:cs="Arial"/>
          <w:color w:val="1F1F1F"/>
          <w:bdr w:val="none" w:sz="0" w:space="0" w:color="auto" w:frame="1"/>
        </w:rPr>
        <w:t>$\$558$</w:t>
      </w:r>
      <w:r>
        <w:rPr>
          <w:rFonts w:ascii="Arial" w:hAnsi="Arial" w:cs="Arial"/>
          <w:color w:val="1F1F1F"/>
          <w:bdr w:val="none" w:sz="0" w:space="0" w:color="auto" w:frame="1"/>
        </w:rPr>
        <w:t xml:space="preserve"> billion in 2019.</w:t>
      </w:r>
      <w:r>
        <w:rPr>
          <w:rFonts w:ascii="Arial" w:hAnsi="Arial" w:cs="Arial"/>
          <w:color w:val="444746"/>
          <w:bdr w:val="none" w:sz="0" w:space="0" w:color="auto" w:frame="1"/>
          <w:vertAlign w:val="superscript"/>
        </w:rPr>
        <w:t>9</w:t>
      </w:r>
      <w:r>
        <w:rPr>
          <w:rFonts w:ascii="Arial" w:hAnsi="Arial" w:cs="Arial"/>
          <w:color w:val="1F1F1F"/>
          <w:bdr w:val="none" w:sz="0" w:space="0" w:color="auto" w:frame="1"/>
        </w:rPr>
        <w:t xml:space="preserve"> U.S. exports to China alone skyrocketed by 450% since 2001. China officially surpassed Germany as the world's largest exporter in 2009.</w:t>
      </w:r>
      <w:r>
        <w:rPr>
          <w:rFonts w:ascii="Arial" w:hAnsi="Arial" w:cs="Arial"/>
          <w:color w:val="444746"/>
          <w:bdr w:val="none" w:sz="0" w:space="0" w:color="auto" w:frame="1"/>
          <w:vertAlign w:val="superscript"/>
        </w:rPr>
        <w:t>9</w:t>
      </w:r>
      <w:r>
        <w:rPr>
          <w:rFonts w:ascii="Arial" w:hAnsi="Arial" w:cs="Arial"/>
          <w:color w:val="1F1F1F"/>
          <w:bdr w:val="none" w:sz="0" w:space="0" w:color="auto" w:frame="1"/>
        </w:rPr>
        <w:t xml:space="preserve"> This massive shift fragmented production processes, enabling developing economies to diversify away from commodities by mastering </w:t>
      </w:r>
      <w:r>
        <w:rPr>
          <w:rFonts w:ascii="Arial" w:hAnsi="Arial" w:cs="Arial"/>
          <w:color w:val="1F1F1F"/>
          <w:bdr w:val="none" w:sz="0" w:space="0" w:color="auto" w:frame="1"/>
        </w:rPr>
        <w:lastRenderedPageBreak/>
        <w:t>only parts of the production chain, rather than needing to develop the capacity to produce an entire manufactured product.</w:t>
      </w:r>
      <w:r>
        <w:rPr>
          <w:rFonts w:ascii="Arial" w:hAnsi="Arial" w:cs="Arial"/>
          <w:color w:val="444746"/>
          <w:bdr w:val="none" w:sz="0" w:space="0" w:color="auto" w:frame="1"/>
          <w:vertAlign w:val="superscript"/>
        </w:rPr>
        <w:t>10</w:t>
      </w:r>
    </w:p>
    <w:p w14:paraId="16B02840"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A critical characteristic of Shock 1.0 was China’s position predominantly at the low-value assembly end of the GVC. When a product, such as a smartphone, was shipped to the United States, official trade statistics recorded its full gross value as an import from China. However, research focusing on value chains demonstrated that a significant portion of the value added—such as computer coding, logistics, and marketing—originated in advanced economies like the United States and South Korea.</w:t>
      </w:r>
      <w:r>
        <w:rPr>
          <w:rFonts w:ascii="Arial" w:hAnsi="Arial" w:cs="Arial"/>
          <w:color w:val="444746"/>
          <w:bdr w:val="none" w:sz="0" w:space="0" w:color="auto" w:frame="1"/>
          <w:vertAlign w:val="superscript"/>
        </w:rPr>
        <w:t>10</w:t>
      </w:r>
      <w:r>
        <w:rPr>
          <w:rFonts w:ascii="Arial" w:hAnsi="Arial" w:cs="Arial"/>
          <w:color w:val="1F1F1F"/>
          <w:bdr w:val="none" w:sz="0" w:space="0" w:color="auto" w:frame="1"/>
        </w:rPr>
        <w:t xml:space="preserve"> Consequently, while China registered a large gross trade surplus, the domestic value added was often significantly overstated, meaning China’s competitive threat was initially complementary rather than substitutive for high-value producers.</w:t>
      </w:r>
    </w:p>
    <w:p w14:paraId="7F04EFB8" w14:textId="77777777" w:rsidR="0085588B" w:rsidRDefault="0085588B" w:rsidP="0085588B">
      <w:pPr>
        <w:pStyle w:val="Heading3"/>
        <w:spacing w:before="0" w:after="120"/>
        <w:rPr>
          <w:rFonts w:ascii="Arial" w:hAnsi="Arial" w:cs="Arial"/>
          <w:color w:val="1F1F1F"/>
        </w:rPr>
      </w:pPr>
      <w:r>
        <w:rPr>
          <w:rFonts w:ascii="Arial" w:hAnsi="Arial" w:cs="Arial"/>
          <w:color w:val="1F1F1F"/>
        </w:rPr>
        <w:t>2.2. Sectoral Focus and Economic Impacts</w:t>
      </w:r>
    </w:p>
    <w:p w14:paraId="7B6D6931"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The sectoral focus of Shock 1.0 was overwhelmingly concentrated in low-skill, labor-intensive manufacturing, including apparel, furniture, and basic consumer electronics.</w:t>
      </w:r>
      <w:r>
        <w:rPr>
          <w:rFonts w:ascii="Arial" w:hAnsi="Arial" w:cs="Arial"/>
          <w:color w:val="444746"/>
          <w:bdr w:val="none" w:sz="0" w:space="0" w:color="auto" w:frame="1"/>
          <w:vertAlign w:val="superscript"/>
        </w:rPr>
        <w:t>2</w:t>
      </w:r>
    </w:p>
    <w:p w14:paraId="2F6966AD"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The United States experienced the shock most acutely in terms of domestic manufacturing labor displacement. Research indicates that import competition from China accounted for 59.3% of all U.S. manufacturing job losses between 2001 and 2019, primarily affecting labor-intensive manufacturing sectors employing workers without college degrees.</w:t>
      </w:r>
      <w:r>
        <w:rPr>
          <w:rFonts w:ascii="Arial" w:hAnsi="Arial" w:cs="Arial"/>
          <w:color w:val="444746"/>
          <w:bdr w:val="none" w:sz="0" w:space="0" w:color="auto" w:frame="1"/>
          <w:vertAlign w:val="superscript"/>
        </w:rPr>
        <w:t>1</w:t>
      </w:r>
      <w:r>
        <w:rPr>
          <w:rFonts w:ascii="Arial" w:hAnsi="Arial" w:cs="Arial"/>
          <w:color w:val="1F1F1F"/>
          <w:bdr w:val="none" w:sz="0" w:space="0" w:color="auto" w:frame="1"/>
        </w:rPr>
        <w:t xml:space="preserve"> These job losses were highly persistent, converting nearly one-for-one into long-term unemployment and causing adverse impacts that lasted two decades beyond the initial trade shock.</w:t>
      </w:r>
      <w:r>
        <w:rPr>
          <w:rFonts w:ascii="Arial" w:hAnsi="Arial" w:cs="Arial"/>
          <w:color w:val="444746"/>
          <w:bdr w:val="none" w:sz="0" w:space="0" w:color="auto" w:frame="1"/>
          <w:vertAlign w:val="superscript"/>
        </w:rPr>
        <w:t>1</w:t>
      </w:r>
      <w:r>
        <w:rPr>
          <w:rFonts w:ascii="Arial" w:hAnsi="Arial" w:cs="Arial"/>
          <w:color w:val="1F1F1F"/>
          <w:bdr w:val="none" w:sz="0" w:space="0" w:color="auto" w:frame="1"/>
        </w:rPr>
        <w:t xml:space="preserve"> Although consumers broadly benefited from lower prices </w:t>
      </w:r>
      <w:r>
        <w:rPr>
          <w:rFonts w:ascii="Arial" w:hAnsi="Arial" w:cs="Arial"/>
          <w:color w:val="444746"/>
          <w:bdr w:val="none" w:sz="0" w:space="0" w:color="auto" w:frame="1"/>
          <w:vertAlign w:val="superscript"/>
        </w:rPr>
        <w:t>8</w:t>
      </w:r>
      <w:r>
        <w:rPr>
          <w:rFonts w:ascii="Arial" w:hAnsi="Arial" w:cs="Arial"/>
          <w:color w:val="1F1F1F"/>
          <w:bdr w:val="none" w:sz="0" w:space="0" w:color="auto" w:frame="1"/>
        </w:rPr>
        <w:t xml:space="preserve">, and corporations profited from increased market access (e.g., Chinese consumers accounted for about 15% of Apple's sales in 2017) </w:t>
      </w:r>
      <w:r>
        <w:rPr>
          <w:rFonts w:ascii="Arial" w:hAnsi="Arial" w:cs="Arial"/>
          <w:color w:val="444746"/>
          <w:bdr w:val="none" w:sz="0" w:space="0" w:color="auto" w:frame="1"/>
          <w:vertAlign w:val="superscript"/>
        </w:rPr>
        <w:t>9</w:t>
      </w:r>
      <w:r>
        <w:rPr>
          <w:rFonts w:ascii="Arial" w:hAnsi="Arial" w:cs="Arial"/>
          <w:color w:val="1F1F1F"/>
          <w:bdr w:val="none" w:sz="0" w:space="0" w:color="auto" w:frame="1"/>
        </w:rPr>
        <w:t>, 6.3% of the U.S. population still experienced net losses in real income.</w:t>
      </w:r>
      <w:r>
        <w:rPr>
          <w:rFonts w:ascii="Arial" w:hAnsi="Arial" w:cs="Arial"/>
          <w:color w:val="444746"/>
          <w:bdr w:val="none" w:sz="0" w:space="0" w:color="auto" w:frame="1"/>
          <w:vertAlign w:val="superscript"/>
        </w:rPr>
        <w:t>1</w:t>
      </w:r>
    </w:p>
    <w:p w14:paraId="7994C7A5" w14:textId="77777777" w:rsidR="0085588B" w:rsidRDefault="0085588B" w:rsidP="0085588B">
      <w:pPr>
        <w:pStyle w:val="NormalWeb"/>
        <w:spacing w:before="0" w:beforeAutospacing="0" w:after="240" w:afterAutospacing="0"/>
        <w:rPr>
          <w:rFonts w:ascii="Arial" w:hAnsi="Arial" w:cs="Arial"/>
          <w:color w:val="1F1F1F"/>
        </w:rPr>
      </w:pPr>
      <w:r>
        <w:rPr>
          <w:rFonts w:ascii="Arial" w:hAnsi="Arial" w:cs="Arial"/>
          <w:color w:val="1F1F1F"/>
        </w:rPr>
        <w:t>The asymmetric distribution of these effects—where the diffuse benefits of cheap goods and corporate profits accrued broadly, while the concentrated costs were borne by displaced non-college-educated labor—created an unequal domestic political economy. This outcome became a foundational element fueling subsequent protectionist sentiment and policy shifts in the years that followed.</w:t>
      </w:r>
    </w:p>
    <w:p w14:paraId="5BBC0C1C" w14:textId="77777777" w:rsidR="0085588B" w:rsidRDefault="0085588B" w:rsidP="0085588B">
      <w:pPr>
        <w:pStyle w:val="Heading3"/>
        <w:spacing w:before="0" w:after="120"/>
        <w:rPr>
          <w:rFonts w:ascii="Arial" w:hAnsi="Arial" w:cs="Arial"/>
          <w:color w:val="1F1F1F"/>
        </w:rPr>
      </w:pPr>
      <w:r>
        <w:rPr>
          <w:rFonts w:ascii="Arial" w:hAnsi="Arial" w:cs="Arial"/>
          <w:color w:val="1F1F1F"/>
        </w:rPr>
        <w:t>2.3. Causal Relationship and Long-Term Legacy</w:t>
      </w:r>
    </w:p>
    <w:p w14:paraId="58298216" w14:textId="77777777" w:rsidR="0085588B" w:rsidRDefault="0085588B" w:rsidP="0085588B">
      <w:pPr>
        <w:pStyle w:val="NormalWeb"/>
        <w:spacing w:before="0" w:beforeAutospacing="0" w:after="240" w:afterAutospacing="0"/>
        <w:rPr>
          <w:rFonts w:ascii="Arial" w:hAnsi="Arial" w:cs="Arial"/>
          <w:color w:val="1F1F1F"/>
        </w:rPr>
      </w:pPr>
      <w:r>
        <w:rPr>
          <w:rFonts w:ascii="Arial" w:hAnsi="Arial" w:cs="Arial"/>
          <w:color w:val="1F1F1F"/>
        </w:rPr>
        <w:t>The core causal chain of the first shock was straightforward: WTO entry led to the exploitation of China's labor comparative advantage, resulting in an export surge of low-value goods, which in turn generated structural disinflation globally and concentrated blue-collar job displacement in the import economies.</w:t>
      </w:r>
    </w:p>
    <w:p w14:paraId="4B705FC2"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It is important to note that certain advanced economies were relatively insulated. Germany, for example, was sheltered from the initial shock because China’s exports were focused on consumer goods and apparel, not the high-end automotive and engineering sectors critical to the German economy.</w:t>
      </w:r>
      <w:r>
        <w:rPr>
          <w:rFonts w:ascii="Arial" w:hAnsi="Arial" w:cs="Arial"/>
          <w:color w:val="444746"/>
          <w:bdr w:val="none" w:sz="0" w:space="0" w:color="auto" w:frame="1"/>
          <w:vertAlign w:val="superscript"/>
        </w:rPr>
        <w:t>2</w:t>
      </w:r>
      <w:r>
        <w:rPr>
          <w:rFonts w:ascii="Arial" w:hAnsi="Arial" w:cs="Arial"/>
          <w:color w:val="1F1F1F"/>
          <w:bdr w:val="none" w:sz="0" w:space="0" w:color="auto" w:frame="1"/>
        </w:rPr>
        <w:t xml:space="preserve"> This provided German firms a sustained competitive advantage, which they leveraged through cost savings from expanded supply chains and wage restraint to benefit from soaring Chinese and American demand for their machinery and capital goods.</w:t>
      </w:r>
      <w:r>
        <w:rPr>
          <w:rFonts w:ascii="Arial" w:hAnsi="Arial" w:cs="Arial"/>
          <w:color w:val="444746"/>
          <w:bdr w:val="none" w:sz="0" w:space="0" w:color="auto" w:frame="1"/>
          <w:vertAlign w:val="superscript"/>
        </w:rPr>
        <w:t>2</w:t>
      </w:r>
      <w:r>
        <w:rPr>
          <w:rFonts w:ascii="Arial" w:hAnsi="Arial" w:cs="Arial"/>
          <w:color w:val="1F1F1F"/>
          <w:bdr w:val="none" w:sz="0" w:space="0" w:color="auto" w:frame="1"/>
        </w:rPr>
        <w:t xml:space="preserve"> This industrial complementarity is precisely what has now vanished in Shock 2.0.</w:t>
      </w:r>
    </w:p>
    <w:p w14:paraId="3116602E" w14:textId="77777777" w:rsidR="0085588B" w:rsidRDefault="0085588B" w:rsidP="0085588B">
      <w:pPr>
        <w:pStyle w:val="NormalWeb"/>
        <w:spacing w:before="0" w:beforeAutospacing="0" w:after="240" w:afterAutospacing="0"/>
        <w:rPr>
          <w:rFonts w:ascii="Arial" w:hAnsi="Arial" w:cs="Arial"/>
          <w:color w:val="1F1F1F"/>
        </w:rPr>
      </w:pPr>
      <w:r>
        <w:rPr>
          <w:rFonts w:ascii="Arial" w:hAnsi="Arial" w:cs="Arial"/>
          <w:color w:val="1F1F1F"/>
        </w:rPr>
        <w:t>The fundamental shift in the global trading environment is summarized below:</w:t>
      </w:r>
    </w:p>
    <w:p w14:paraId="4274A239" w14:textId="77777777" w:rsidR="0085588B" w:rsidRDefault="0085588B" w:rsidP="0085588B">
      <w:pPr>
        <w:pStyle w:val="NormalWeb"/>
        <w:spacing w:before="0" w:beforeAutospacing="0" w:after="240" w:afterAutospacing="0"/>
        <w:rPr>
          <w:rFonts w:ascii="Arial" w:hAnsi="Arial" w:cs="Arial"/>
          <w:color w:val="1F1F1F"/>
        </w:rPr>
      </w:pPr>
      <w:r>
        <w:rPr>
          <w:rFonts w:ascii="Arial" w:hAnsi="Arial" w:cs="Arial"/>
          <w:color w:val="1F1F1F"/>
        </w:rPr>
        <w:lastRenderedPageBreak/>
        <w:t>Table 1: Key Analytical Comparison: China Shock 1.0 (Low-Value) vs. China Shock 2.0 (High-End)</w:t>
      </w:r>
    </w:p>
    <w:tbl>
      <w:tblPr>
        <w:tblW w:w="0" w:type="auto"/>
        <w:tblCellSpacing w:w="15" w:type="dxa"/>
        <w:tblCellMar>
          <w:left w:w="0" w:type="dxa"/>
          <w:right w:w="0" w:type="dxa"/>
        </w:tblCellMar>
        <w:tblLook w:val="04A0" w:firstRow="1" w:lastRow="0" w:firstColumn="1" w:lastColumn="0" w:noHBand="0" w:noVBand="1"/>
      </w:tblPr>
      <w:tblGrid>
        <w:gridCol w:w="2349"/>
        <w:gridCol w:w="2933"/>
        <w:gridCol w:w="3728"/>
      </w:tblGrid>
      <w:tr w:rsidR="0085588B" w14:paraId="623DB3E4" w14:textId="77777777" w:rsidTr="0085588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03290" w14:textId="77777777" w:rsidR="0085588B" w:rsidRDefault="0085588B">
            <w:pPr>
              <w:rPr>
                <w:rFonts w:ascii="Arial" w:hAnsi="Arial" w:cs="Arial"/>
                <w:color w:val="1F1F1F"/>
              </w:rPr>
            </w:pPr>
            <w:r>
              <w:rPr>
                <w:rStyle w:val="Strong"/>
                <w:rFonts w:ascii="Arial" w:hAnsi="Arial" w:cs="Arial"/>
                <w:color w:val="1F1F1F"/>
                <w:bdr w:val="none" w:sz="0" w:space="0" w:color="auto" w:frame="1"/>
              </w:rPr>
              <w:t>Characteristic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06739" w14:textId="77777777" w:rsidR="0085588B" w:rsidRDefault="0085588B">
            <w:pPr>
              <w:rPr>
                <w:rFonts w:ascii="Arial" w:hAnsi="Arial" w:cs="Arial"/>
                <w:color w:val="1F1F1F"/>
              </w:rPr>
            </w:pPr>
            <w:r>
              <w:rPr>
                <w:rStyle w:val="Strong"/>
                <w:rFonts w:ascii="Arial" w:hAnsi="Arial" w:cs="Arial"/>
                <w:color w:val="1F1F1F"/>
                <w:bdr w:val="none" w:sz="0" w:space="0" w:color="auto" w:frame="1"/>
              </w:rPr>
              <w:t>China Shock 1.0 (Post-2000)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4D64B" w14:textId="77777777" w:rsidR="0085588B" w:rsidRDefault="0085588B">
            <w:pPr>
              <w:rPr>
                <w:rFonts w:ascii="Arial" w:hAnsi="Arial" w:cs="Arial"/>
                <w:color w:val="1F1F1F"/>
              </w:rPr>
            </w:pPr>
            <w:r>
              <w:rPr>
                <w:rStyle w:val="Strong"/>
                <w:rFonts w:ascii="Arial" w:hAnsi="Arial" w:cs="Arial"/>
                <w:color w:val="1F1F1F"/>
                <w:bdr w:val="none" w:sz="0" w:space="0" w:color="auto" w:frame="1"/>
              </w:rPr>
              <w:t>China Shock 2.0 (Current Wave)</w:t>
            </w:r>
          </w:p>
        </w:tc>
      </w:tr>
      <w:tr w:rsidR="0085588B" w14:paraId="7AFC2EEF" w14:textId="77777777" w:rsidTr="008558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B17F4" w14:textId="77777777" w:rsidR="0085588B" w:rsidRDefault="0085588B">
            <w:pPr>
              <w:rPr>
                <w:rFonts w:ascii="Arial" w:hAnsi="Arial" w:cs="Arial"/>
                <w:color w:val="1F1F1F"/>
              </w:rPr>
            </w:pPr>
            <w:r>
              <w:rPr>
                <w:rFonts w:ascii="Arial" w:hAnsi="Arial" w:cs="Arial"/>
                <w:b/>
                <w:bCs/>
                <w:color w:val="1F1F1F"/>
                <w:bdr w:val="none" w:sz="0" w:space="0" w:color="auto" w:frame="1"/>
              </w:rPr>
              <w:t>Primary Export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2DB96" w14:textId="77777777" w:rsidR="0085588B" w:rsidRDefault="0085588B">
            <w:pPr>
              <w:rPr>
                <w:rFonts w:ascii="Arial" w:hAnsi="Arial" w:cs="Arial"/>
                <w:color w:val="1F1F1F"/>
              </w:rPr>
            </w:pPr>
            <w:r>
              <w:rPr>
                <w:rFonts w:ascii="Arial" w:hAnsi="Arial" w:cs="Arial"/>
                <w:color w:val="1F1F1F"/>
                <w:bdr w:val="none" w:sz="0" w:space="0" w:color="auto" w:frame="1"/>
              </w:rPr>
              <w:t>Labor-Intensive Goods (Textiles, basic assembly)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ECB5C" w14:textId="77777777" w:rsidR="0085588B" w:rsidRDefault="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Capital/Technology-Intensive Goods (EVs, Green Tech, Advanced Machinery) </w:t>
            </w:r>
            <w:r>
              <w:rPr>
                <w:rFonts w:ascii="Arial" w:hAnsi="Arial" w:cs="Arial"/>
                <w:color w:val="444746"/>
                <w:bdr w:val="none" w:sz="0" w:space="0" w:color="auto" w:frame="1"/>
                <w:vertAlign w:val="superscript"/>
              </w:rPr>
              <w:t>11</w:t>
            </w:r>
          </w:p>
        </w:tc>
      </w:tr>
      <w:tr w:rsidR="0085588B" w14:paraId="77AF9E86" w14:textId="77777777" w:rsidTr="008558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16E9A" w14:textId="77777777" w:rsidR="0085588B" w:rsidRDefault="0085588B">
            <w:pPr>
              <w:rPr>
                <w:rFonts w:ascii="Arial" w:hAnsi="Arial" w:cs="Arial"/>
                <w:color w:val="1F1F1F"/>
              </w:rPr>
            </w:pPr>
            <w:r>
              <w:rPr>
                <w:rFonts w:ascii="Arial" w:hAnsi="Arial" w:cs="Arial"/>
                <w:b/>
                <w:bCs/>
                <w:color w:val="1F1F1F"/>
                <w:bdr w:val="none" w:sz="0" w:space="0" w:color="auto" w:frame="1"/>
              </w:rPr>
              <w:t>Primary Economic Mechanism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CD373" w14:textId="77777777" w:rsidR="0085588B" w:rsidRDefault="0085588B">
            <w:pPr>
              <w:rPr>
                <w:rFonts w:ascii="Arial" w:hAnsi="Arial" w:cs="Arial"/>
                <w:color w:val="1F1F1F"/>
              </w:rPr>
            </w:pPr>
            <w:r>
              <w:rPr>
                <w:rFonts w:ascii="Arial" w:hAnsi="Arial" w:cs="Arial"/>
                <w:color w:val="1F1F1F"/>
                <w:bdr w:val="none" w:sz="0" w:space="0" w:color="auto" w:frame="1"/>
              </w:rPr>
              <w:t>Comparative Advantage (Low Labor Cost) and GVC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8C3E3" w14:textId="77777777" w:rsidR="0085588B" w:rsidRDefault="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Industrial Policy Distortion (Subsidies) and Domestic Overcapacity </w:t>
            </w:r>
            <w:r>
              <w:rPr>
                <w:rFonts w:ascii="Arial" w:hAnsi="Arial" w:cs="Arial"/>
                <w:color w:val="444746"/>
                <w:bdr w:val="none" w:sz="0" w:space="0" w:color="auto" w:frame="1"/>
                <w:vertAlign w:val="superscript"/>
              </w:rPr>
              <w:t>4</w:t>
            </w:r>
          </w:p>
        </w:tc>
      </w:tr>
      <w:tr w:rsidR="0085588B" w14:paraId="2706C8FC" w14:textId="77777777" w:rsidTr="008558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16A53" w14:textId="77777777" w:rsidR="0085588B" w:rsidRDefault="0085588B">
            <w:pPr>
              <w:rPr>
                <w:rFonts w:ascii="Arial" w:hAnsi="Arial" w:cs="Arial"/>
                <w:color w:val="1F1F1F"/>
              </w:rPr>
            </w:pPr>
            <w:r>
              <w:rPr>
                <w:rFonts w:ascii="Arial" w:hAnsi="Arial" w:cs="Arial"/>
                <w:b/>
                <w:bCs/>
                <w:color w:val="1F1F1F"/>
                <w:bdr w:val="none" w:sz="0" w:space="0" w:color="auto" w:frame="1"/>
              </w:rPr>
              <w:t>Main Impact on Advanced Economies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8BE81" w14:textId="77777777" w:rsidR="0085588B" w:rsidRDefault="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Manufacturing Job Losses (Geographically Concentrated) </w:t>
            </w:r>
            <w:r>
              <w:rPr>
                <w:rFonts w:ascii="Arial" w:hAnsi="Arial" w:cs="Arial"/>
                <w:color w:val="444746"/>
                <w:bdr w:val="none" w:sz="0" w:space="0" w:color="auto" w:frame="1"/>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1383A" w14:textId="77777777" w:rsidR="0085588B" w:rsidRDefault="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Direct Competition with Core National Champion Industries (e.g., Automotive) </w:t>
            </w:r>
            <w:r>
              <w:rPr>
                <w:rFonts w:ascii="Arial" w:hAnsi="Arial" w:cs="Arial"/>
                <w:color w:val="444746"/>
                <w:bdr w:val="none" w:sz="0" w:space="0" w:color="auto" w:frame="1"/>
                <w:vertAlign w:val="superscript"/>
              </w:rPr>
              <w:t>2</w:t>
            </w:r>
          </w:p>
        </w:tc>
      </w:tr>
      <w:tr w:rsidR="0085588B" w14:paraId="767C383F" w14:textId="77777777" w:rsidTr="008558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94310" w14:textId="77777777" w:rsidR="0085588B" w:rsidRDefault="0085588B">
            <w:pPr>
              <w:rPr>
                <w:rFonts w:ascii="Arial" w:hAnsi="Arial" w:cs="Arial"/>
                <w:color w:val="1F1F1F"/>
              </w:rPr>
            </w:pPr>
            <w:r>
              <w:rPr>
                <w:rFonts w:ascii="Arial" w:hAnsi="Arial" w:cs="Arial"/>
                <w:b/>
                <w:bCs/>
                <w:color w:val="1F1F1F"/>
                <w:bdr w:val="none" w:sz="0" w:space="0" w:color="auto" w:frame="1"/>
              </w:rPr>
              <w:t>Main Impact on Emerging Markets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E9CA5" w14:textId="77777777" w:rsidR="0085588B" w:rsidRDefault="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Opportunity to Join GVCs (Intermediate Supplier Role) </w:t>
            </w:r>
            <w:r>
              <w:rPr>
                <w:rFonts w:ascii="Arial" w:hAnsi="Arial" w:cs="Arial"/>
                <w:color w:val="444746"/>
                <w:bdr w:val="none" w:sz="0" w:space="0" w:color="auto" w:frame="1"/>
                <w:vertAlign w:val="superscript"/>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C4BFE" w14:textId="77777777" w:rsidR="0085588B" w:rsidRDefault="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Risk of Deindustrialization (Being Undercut) vs. Green Leapfrogging Benefit </w:t>
            </w:r>
            <w:r>
              <w:rPr>
                <w:rFonts w:ascii="Arial" w:hAnsi="Arial" w:cs="Arial"/>
                <w:color w:val="444746"/>
                <w:bdr w:val="none" w:sz="0" w:space="0" w:color="auto" w:frame="1"/>
                <w:vertAlign w:val="superscript"/>
              </w:rPr>
              <w:t>4</w:t>
            </w:r>
          </w:p>
        </w:tc>
      </w:tr>
    </w:tbl>
    <w:p w14:paraId="1686B529" w14:textId="77777777" w:rsidR="0085588B" w:rsidRDefault="0085588B" w:rsidP="0085588B">
      <w:pPr>
        <w:pStyle w:val="Heading2"/>
        <w:spacing w:before="0" w:after="120"/>
        <w:rPr>
          <w:rFonts w:ascii="Arial" w:hAnsi="Arial" w:cs="Arial"/>
          <w:color w:val="1F1F1F"/>
        </w:rPr>
      </w:pPr>
      <w:r>
        <w:rPr>
          <w:rFonts w:ascii="Arial" w:hAnsi="Arial" w:cs="Arial"/>
          <w:color w:val="1F1F1F"/>
        </w:rPr>
        <w:t>III. The Mechanics of China Shock 2.0: Industrial Policy, Overcapacity, and Export Push</w:t>
      </w:r>
    </w:p>
    <w:p w14:paraId="48E0AB81" w14:textId="77777777" w:rsidR="0085588B" w:rsidRDefault="0085588B" w:rsidP="0085588B">
      <w:pPr>
        <w:pStyle w:val="Heading3"/>
        <w:spacing w:before="0" w:after="120"/>
        <w:rPr>
          <w:rFonts w:ascii="Arial" w:hAnsi="Arial" w:cs="Arial"/>
          <w:color w:val="1F1F1F"/>
        </w:rPr>
      </w:pPr>
      <w:r>
        <w:rPr>
          <w:rFonts w:ascii="Arial" w:hAnsi="Arial" w:cs="Arial"/>
          <w:color w:val="1F1F1F"/>
        </w:rPr>
        <w:t>3.1. Policy Drivers and Sectoral Upgrading</w:t>
      </w:r>
    </w:p>
    <w:p w14:paraId="6E2043E2"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China Shock 2.0 is driven by explicit state policy mandates aimed at industrial upgrading and technological self-reliance. This strategic direction was formalized initially under "Made in China 2025" and is now reinforced by the concept of "New Quality Productive Forces," introduced by President Xi Jinping in 2023.</w:t>
      </w:r>
      <w:r>
        <w:rPr>
          <w:rFonts w:ascii="Arial" w:hAnsi="Arial" w:cs="Arial"/>
          <w:color w:val="444746"/>
          <w:bdr w:val="none" w:sz="0" w:space="0" w:color="auto" w:frame="1"/>
          <w:vertAlign w:val="superscript"/>
        </w:rPr>
        <w:t>4</w:t>
      </w:r>
      <w:r>
        <w:rPr>
          <w:rFonts w:ascii="Arial" w:hAnsi="Arial" w:cs="Arial"/>
          <w:color w:val="1F1F1F"/>
          <w:bdr w:val="none" w:sz="0" w:space="0" w:color="auto" w:frame="1"/>
        </w:rPr>
        <w:t xml:space="preserve"> The core objective is to move China's industrial base into higher-value-added products and foster advanced manufacturing clusters.</w:t>
      </w:r>
      <w:r>
        <w:rPr>
          <w:rFonts w:ascii="Arial" w:hAnsi="Arial" w:cs="Arial"/>
          <w:color w:val="444746"/>
          <w:bdr w:val="none" w:sz="0" w:space="0" w:color="auto" w:frame="1"/>
          <w:vertAlign w:val="superscript"/>
        </w:rPr>
        <w:t>4</w:t>
      </w:r>
    </w:p>
    <w:p w14:paraId="66D93501"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The primary focus sectors, often referred to as the "New Trio," include photovoltaics (solar), lithium-ion batteries, and New Energy Vehicles (NEVs/EVs).</w:t>
      </w:r>
      <w:r>
        <w:rPr>
          <w:rFonts w:ascii="Arial" w:hAnsi="Arial" w:cs="Arial"/>
          <w:color w:val="444746"/>
          <w:bdr w:val="none" w:sz="0" w:space="0" w:color="auto" w:frame="1"/>
          <w:vertAlign w:val="superscript"/>
        </w:rPr>
        <w:t>11</w:t>
      </w:r>
      <w:r>
        <w:rPr>
          <w:rFonts w:ascii="Arial" w:hAnsi="Arial" w:cs="Arial"/>
          <w:color w:val="1F1F1F"/>
          <w:bdr w:val="none" w:sz="0" w:space="0" w:color="auto" w:frame="1"/>
        </w:rPr>
        <w:t xml:space="preserve"> These products are technology-intensive, high in added-value, and are leading the green transformation globally.</w:t>
      </w:r>
      <w:r>
        <w:rPr>
          <w:rFonts w:ascii="Arial" w:hAnsi="Arial" w:cs="Arial"/>
          <w:color w:val="444746"/>
          <w:bdr w:val="none" w:sz="0" w:space="0" w:color="auto" w:frame="1"/>
          <w:vertAlign w:val="superscript"/>
        </w:rPr>
        <w:t>11</w:t>
      </w:r>
      <w:r>
        <w:rPr>
          <w:rFonts w:ascii="Arial" w:hAnsi="Arial" w:cs="Arial"/>
          <w:color w:val="1F1F1F"/>
          <w:bdr w:val="none" w:sz="0" w:space="0" w:color="auto" w:frame="1"/>
        </w:rPr>
        <w:t xml:space="preserve"> The export performance of these sectors confirms the success of this strategic push: in 2023, exports of the New Trio surged by nearly 30%, surpassing the trillion yuan mark for the first time.</w:t>
      </w:r>
      <w:r>
        <w:rPr>
          <w:rFonts w:ascii="Arial" w:hAnsi="Arial" w:cs="Arial"/>
          <w:color w:val="444746"/>
          <w:bdr w:val="none" w:sz="0" w:space="0" w:color="auto" w:frame="1"/>
          <w:vertAlign w:val="superscript"/>
        </w:rPr>
        <w:t>11</w:t>
      </w:r>
      <w:r>
        <w:rPr>
          <w:rFonts w:ascii="Arial" w:hAnsi="Arial" w:cs="Arial"/>
          <w:color w:val="1F1F1F"/>
          <w:bdr w:val="none" w:sz="0" w:space="0" w:color="auto" w:frame="1"/>
        </w:rPr>
        <w:t xml:space="preserve"> This rapid advancement directly challenges sectors where advanced Western economies, particularly in Europe, have historically held their competitive edge.</w:t>
      </w:r>
      <w:r>
        <w:rPr>
          <w:rFonts w:ascii="Arial" w:hAnsi="Arial" w:cs="Arial"/>
          <w:color w:val="444746"/>
          <w:bdr w:val="none" w:sz="0" w:space="0" w:color="auto" w:frame="1"/>
          <w:vertAlign w:val="superscript"/>
        </w:rPr>
        <w:t>2</w:t>
      </w:r>
      <w:r>
        <w:rPr>
          <w:rFonts w:ascii="Arial" w:hAnsi="Arial" w:cs="Arial"/>
          <w:color w:val="1F1F1F"/>
          <w:bdr w:val="none" w:sz="0" w:space="0" w:color="auto" w:frame="1"/>
        </w:rPr>
        <w:t xml:space="preserve"> High-tech manufacturing in China has consistently remained in expansion territory, demonstrating a strong capacity to withstand shocks.</w:t>
      </w:r>
      <w:r>
        <w:rPr>
          <w:rFonts w:ascii="Arial" w:hAnsi="Arial" w:cs="Arial"/>
          <w:color w:val="444746"/>
          <w:bdr w:val="none" w:sz="0" w:space="0" w:color="auto" w:frame="1"/>
          <w:vertAlign w:val="superscript"/>
        </w:rPr>
        <w:t>13</w:t>
      </w:r>
    </w:p>
    <w:p w14:paraId="35D3439A" w14:textId="77777777" w:rsidR="0085588B" w:rsidRDefault="0085588B" w:rsidP="0085588B">
      <w:pPr>
        <w:pStyle w:val="Heading3"/>
        <w:spacing w:before="0" w:after="120"/>
        <w:rPr>
          <w:rFonts w:ascii="Arial" w:hAnsi="Arial" w:cs="Arial"/>
          <w:color w:val="1F1F1F"/>
        </w:rPr>
      </w:pPr>
      <w:r>
        <w:rPr>
          <w:rFonts w:ascii="Arial" w:hAnsi="Arial" w:cs="Arial"/>
          <w:color w:val="1F1F1F"/>
        </w:rPr>
        <w:t>3.2. The Overcapacity Mechanism and Macro Drivers</w:t>
      </w:r>
    </w:p>
    <w:p w14:paraId="04D5356E"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The defining economic mechanism of Shock 2.0 is structural overcapacity, where production capability significantly exceeds what domestic consumers are willing to purchase at profitable prices.</w:t>
      </w:r>
      <w:r>
        <w:rPr>
          <w:rFonts w:ascii="Arial" w:hAnsi="Arial" w:cs="Arial"/>
          <w:color w:val="444746"/>
          <w:bdr w:val="none" w:sz="0" w:space="0" w:color="auto" w:frame="1"/>
          <w:vertAlign w:val="superscript"/>
        </w:rPr>
        <w:t>4</w:t>
      </w:r>
      <w:r>
        <w:rPr>
          <w:rFonts w:ascii="Arial" w:hAnsi="Arial" w:cs="Arial"/>
          <w:color w:val="1F1F1F"/>
          <w:bdr w:val="none" w:sz="0" w:space="0" w:color="auto" w:frame="1"/>
        </w:rPr>
        <w:t xml:space="preserve"> Studies by the Kiel Institute and Rhodium Group </w:t>
      </w:r>
      <w:r>
        <w:rPr>
          <w:rFonts w:ascii="Arial" w:hAnsi="Arial" w:cs="Arial"/>
          <w:color w:val="1F1F1F"/>
          <w:bdr w:val="none" w:sz="0" w:space="0" w:color="auto" w:frame="1"/>
        </w:rPr>
        <w:lastRenderedPageBreak/>
        <w:t>indicate that China's state subsidies for its domestic industries are three to nine times greater than those provided by OECD countries.</w:t>
      </w:r>
      <w:r>
        <w:rPr>
          <w:rFonts w:ascii="Arial" w:hAnsi="Arial" w:cs="Arial"/>
          <w:color w:val="444746"/>
          <w:bdr w:val="none" w:sz="0" w:space="0" w:color="auto" w:frame="1"/>
          <w:vertAlign w:val="superscript"/>
        </w:rPr>
        <w:t>4</w:t>
      </w:r>
      <w:r>
        <w:rPr>
          <w:rFonts w:ascii="Arial" w:hAnsi="Arial" w:cs="Arial"/>
          <w:color w:val="1F1F1F"/>
          <w:bdr w:val="none" w:sz="0" w:space="0" w:color="auto" w:frame="1"/>
        </w:rPr>
        <w:t xml:space="preserve"> These massive, sustained, and distortive industrial policies generate an imbalance that must be resolved through export growth.</w:t>
      </w:r>
      <w:r>
        <w:rPr>
          <w:rFonts w:ascii="Arial" w:hAnsi="Arial" w:cs="Arial"/>
          <w:color w:val="444746"/>
          <w:bdr w:val="none" w:sz="0" w:space="0" w:color="auto" w:frame="1"/>
          <w:vertAlign w:val="superscript"/>
        </w:rPr>
        <w:t>4</w:t>
      </w:r>
    </w:p>
    <w:p w14:paraId="026F5F35"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The macroeconomic backdrop exacerbates this problem. China's trade surplus expansion has been fueled by a substantial weakening of domestic demand since late 2021, driven by a large-scale property market correction and repeated pandemic lockdowns that suppressed consumer confidence.</w:t>
      </w:r>
      <w:r>
        <w:rPr>
          <w:rFonts w:ascii="Arial" w:hAnsi="Arial" w:cs="Arial"/>
          <w:color w:val="444746"/>
          <w:bdr w:val="none" w:sz="0" w:space="0" w:color="auto" w:frame="1"/>
          <w:vertAlign w:val="superscript"/>
        </w:rPr>
        <w:t>14</w:t>
      </w:r>
      <w:r>
        <w:rPr>
          <w:rFonts w:ascii="Arial" w:hAnsi="Arial" w:cs="Arial"/>
          <w:color w:val="1F1F1F"/>
          <w:bdr w:val="none" w:sz="0" w:space="0" w:color="auto" w:frame="1"/>
        </w:rPr>
        <w:t xml:space="preserve"> Simultaneously, global demand was boosted by significant dissaving, particularly in the United States, where fiscal deficits grew substantially.</w:t>
      </w:r>
      <w:r>
        <w:rPr>
          <w:rFonts w:ascii="Arial" w:hAnsi="Arial" w:cs="Arial"/>
          <w:color w:val="444746"/>
          <w:bdr w:val="none" w:sz="0" w:space="0" w:color="auto" w:frame="1"/>
          <w:vertAlign w:val="superscript"/>
        </w:rPr>
        <w:t>14</w:t>
      </w:r>
      <w:r>
        <w:rPr>
          <w:rFonts w:ascii="Arial" w:hAnsi="Arial" w:cs="Arial"/>
          <w:color w:val="1F1F1F"/>
          <w:bdr w:val="none" w:sz="0" w:space="0" w:color="auto" w:frame="1"/>
        </w:rPr>
        <w:t xml:space="preserve"> China is effectively exporting its domestic economic distortions in the form of low-priced goods.</w:t>
      </w:r>
      <w:r>
        <w:rPr>
          <w:rFonts w:ascii="Arial" w:hAnsi="Arial" w:cs="Arial"/>
          <w:color w:val="444746"/>
          <w:bdr w:val="none" w:sz="0" w:space="0" w:color="auto" w:frame="1"/>
          <w:vertAlign w:val="superscript"/>
        </w:rPr>
        <w:t>4</w:t>
      </w:r>
    </w:p>
    <w:p w14:paraId="05A4281C"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This dynamic is confirmed by observing trade data: while the overall value of total European imports from China declined since March 2024, volumes have generally held up. This divergence implies that import prices from China have fallen sharply, declining by approximately 15% year-on-year, compared to an average import price decrease of just 2.2% over the same period. This indicates a clear price war dynamic driven by overcapacity and discounted exports.</w:t>
      </w:r>
      <w:r>
        <w:rPr>
          <w:rFonts w:ascii="Arial" w:hAnsi="Arial" w:cs="Arial"/>
          <w:color w:val="444746"/>
          <w:bdr w:val="none" w:sz="0" w:space="0" w:color="auto" w:frame="1"/>
          <w:vertAlign w:val="superscript"/>
        </w:rPr>
        <w:t>15</w:t>
      </w:r>
    </w:p>
    <w:p w14:paraId="05A361F7" w14:textId="77777777" w:rsidR="0085588B" w:rsidRDefault="0085588B" w:rsidP="0085588B">
      <w:pPr>
        <w:pStyle w:val="Heading3"/>
        <w:spacing w:before="0" w:after="120"/>
        <w:rPr>
          <w:rFonts w:ascii="Arial" w:hAnsi="Arial" w:cs="Arial"/>
          <w:color w:val="1F1F1F"/>
        </w:rPr>
      </w:pPr>
      <w:r>
        <w:rPr>
          <w:rFonts w:ascii="Arial" w:hAnsi="Arial" w:cs="Arial"/>
          <w:color w:val="1F1F1F"/>
        </w:rPr>
        <w:t>3.3. Global Disinflationary Spillovers</w:t>
      </w:r>
    </w:p>
    <w:p w14:paraId="67F1F625"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The immediate consequence of China’s export push is a significant disinflationary spillover effect across global markets. Deflation in China, resulting from weak domestic demand, translates directly into lower import prices for trading partners.</w:t>
      </w:r>
      <w:r>
        <w:rPr>
          <w:rFonts w:ascii="Arial" w:hAnsi="Arial" w:cs="Arial"/>
          <w:color w:val="444746"/>
          <w:bdr w:val="none" w:sz="0" w:space="0" w:color="auto" w:frame="1"/>
          <w:vertAlign w:val="superscript"/>
        </w:rPr>
        <w:t>6</w:t>
      </w:r>
      <w:r>
        <w:rPr>
          <w:rFonts w:ascii="Arial" w:hAnsi="Arial" w:cs="Arial"/>
          <w:color w:val="1F1F1F"/>
          <w:bdr w:val="none" w:sz="0" w:space="0" w:color="auto" w:frame="1"/>
        </w:rPr>
        <w:t xml:space="preserve"> Declining export prices out of China are estimated to have lowered global core goods inflation (excluding China) by 70 basis points over the second half of 2023.</w:t>
      </w:r>
      <w:r>
        <w:rPr>
          <w:rFonts w:ascii="Arial" w:hAnsi="Arial" w:cs="Arial"/>
          <w:color w:val="444746"/>
          <w:bdr w:val="none" w:sz="0" w:space="0" w:color="auto" w:frame="1"/>
          <w:vertAlign w:val="superscript"/>
        </w:rPr>
        <w:t>6</w:t>
      </w:r>
      <w:r>
        <w:rPr>
          <w:rFonts w:ascii="Arial" w:hAnsi="Arial" w:cs="Arial"/>
          <w:color w:val="1F1F1F"/>
          <w:bdr w:val="none" w:sz="0" w:space="0" w:color="auto" w:frame="1"/>
        </w:rPr>
        <w:t xml:space="preserve"> This price suppression effect can be further exacerbated if trading partners’ domestic firms lower their own prices to remain competitive with the influx of subsidized Chinese exports.</w:t>
      </w:r>
      <w:r>
        <w:rPr>
          <w:rFonts w:ascii="Arial" w:hAnsi="Arial" w:cs="Arial"/>
          <w:color w:val="444746"/>
          <w:bdr w:val="none" w:sz="0" w:space="0" w:color="auto" w:frame="1"/>
          <w:vertAlign w:val="superscript"/>
        </w:rPr>
        <w:t>16</w:t>
      </w:r>
    </w:p>
    <w:p w14:paraId="487CC794"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However, the continued reliance on this disinflationary pulse presents a significant policy risk. The current global benefit—short-term relief for central banks fighting inflation—is contingent upon China's continued failure to rebalance its domestic economy. Recent analysis suggests that China-originated deflationary exports may have peaked if the Chinese government successfully implements anti-wasteful competition policies.</w:t>
      </w:r>
      <w:r>
        <w:rPr>
          <w:rFonts w:ascii="Arial" w:hAnsi="Arial" w:cs="Arial"/>
          <w:color w:val="444746"/>
          <w:bdr w:val="none" w:sz="0" w:space="0" w:color="auto" w:frame="1"/>
          <w:vertAlign w:val="superscript"/>
        </w:rPr>
        <w:t>7</w:t>
      </w:r>
      <w:r>
        <w:rPr>
          <w:rFonts w:ascii="Arial" w:hAnsi="Arial" w:cs="Arial"/>
          <w:color w:val="1F1F1F"/>
          <w:bdr w:val="none" w:sz="0" w:space="0" w:color="auto" w:frame="1"/>
        </w:rPr>
        <w:t xml:space="preserve"> Should China manage to curb excessive domestic subsidies and boost internal demand, this deflationary impulse could fade rapidly, or even reverse, potentially leading to a </w:t>
      </w:r>
      <w:r>
        <w:rPr>
          <w:rFonts w:ascii="Arial" w:hAnsi="Arial" w:cs="Arial"/>
          <w:i/>
          <w:iCs/>
          <w:color w:val="1F1F1F"/>
          <w:bdr w:val="none" w:sz="0" w:space="0" w:color="auto" w:frame="1"/>
        </w:rPr>
        <w:t>rise</w:t>
      </w:r>
      <w:r>
        <w:rPr>
          <w:rFonts w:ascii="Arial" w:hAnsi="Arial" w:cs="Arial"/>
          <w:color w:val="1F1F1F"/>
          <w:bdr w:val="none" w:sz="0" w:space="0" w:color="auto" w:frame="1"/>
        </w:rPr>
        <w:t xml:space="preserve"> in core goods inflation globally. This scenario would force major economies, particularly the US and Europe, to reassess their monetary policy paths, as the current unexpected macroeconomic support from cheap Chinese imports would vanish.</w:t>
      </w:r>
      <w:r>
        <w:rPr>
          <w:rFonts w:ascii="Arial" w:hAnsi="Arial" w:cs="Arial"/>
          <w:color w:val="444746"/>
          <w:bdr w:val="none" w:sz="0" w:space="0" w:color="auto" w:frame="1"/>
          <w:vertAlign w:val="superscript"/>
        </w:rPr>
        <w:t>7</w:t>
      </w:r>
    </w:p>
    <w:p w14:paraId="76015F6A" w14:textId="77777777" w:rsidR="0085588B" w:rsidRDefault="0085588B" w:rsidP="0085588B">
      <w:pPr>
        <w:pStyle w:val="Heading2"/>
        <w:spacing w:before="0" w:after="120"/>
        <w:rPr>
          <w:rFonts w:ascii="Arial" w:hAnsi="Arial" w:cs="Arial"/>
          <w:color w:val="1F1F1F"/>
        </w:rPr>
      </w:pPr>
      <w:r>
        <w:rPr>
          <w:rFonts w:ascii="Arial" w:hAnsi="Arial" w:cs="Arial"/>
          <w:color w:val="1F1F1F"/>
        </w:rPr>
        <w:t>IV. Geographic Exposure Analysis: Contrasting Vulnerabilities (Shock 1.0 vs. 2.0)</w:t>
      </w:r>
    </w:p>
    <w:p w14:paraId="2DB65FDE" w14:textId="77777777" w:rsidR="0085588B" w:rsidRDefault="0085588B" w:rsidP="0085588B">
      <w:pPr>
        <w:pStyle w:val="NormalWeb"/>
        <w:spacing w:before="0" w:beforeAutospacing="0" w:after="240" w:afterAutospacing="0"/>
        <w:rPr>
          <w:rFonts w:ascii="Arial" w:hAnsi="Arial" w:cs="Arial"/>
          <w:color w:val="1F1F1F"/>
        </w:rPr>
      </w:pPr>
      <w:r>
        <w:rPr>
          <w:rFonts w:ascii="Arial" w:hAnsi="Arial" w:cs="Arial"/>
          <w:color w:val="1F1F1F"/>
        </w:rPr>
        <w:t>The shift in China's export focus from low-value goods to high-end capital and green technologies has drastically altered which economies are most exposed to trade shocks.</w:t>
      </w:r>
    </w:p>
    <w:p w14:paraId="488892F4" w14:textId="77777777" w:rsidR="0085588B" w:rsidRDefault="0085588B" w:rsidP="0085588B">
      <w:pPr>
        <w:pStyle w:val="Heading3"/>
        <w:spacing w:before="0" w:after="120"/>
        <w:rPr>
          <w:rFonts w:ascii="Arial" w:hAnsi="Arial" w:cs="Arial"/>
          <w:color w:val="1F1F1F"/>
        </w:rPr>
      </w:pPr>
      <w:r>
        <w:rPr>
          <w:rFonts w:ascii="Arial" w:hAnsi="Arial" w:cs="Arial"/>
          <w:color w:val="1F1F1F"/>
        </w:rPr>
        <w:t>4.1. Advanced Economies: The Competitor Shock</w:t>
      </w:r>
    </w:p>
    <w:p w14:paraId="3A7A632C" w14:textId="77777777" w:rsidR="0085588B" w:rsidRDefault="0085588B" w:rsidP="0085588B">
      <w:pPr>
        <w:pStyle w:val="Heading4"/>
        <w:spacing w:before="0" w:after="120"/>
        <w:rPr>
          <w:rFonts w:ascii="Arial" w:hAnsi="Arial" w:cs="Arial"/>
          <w:color w:val="1F1F1F"/>
        </w:rPr>
      </w:pPr>
      <w:r>
        <w:rPr>
          <w:rFonts w:ascii="Arial" w:hAnsi="Arial" w:cs="Arial"/>
          <w:color w:val="1F1F1F"/>
        </w:rPr>
        <w:t>A. Europe (EU/Euro Area): The Core Industrial Challenge</w:t>
      </w:r>
    </w:p>
    <w:p w14:paraId="043B623C"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Europe is facing what has been termed a "second 'China shock,' only this time around, it's largely negative".</w:t>
      </w:r>
      <w:r>
        <w:rPr>
          <w:rFonts w:ascii="Arial" w:hAnsi="Arial" w:cs="Arial"/>
          <w:color w:val="444746"/>
          <w:bdr w:val="none" w:sz="0" w:space="0" w:color="auto" w:frame="1"/>
          <w:vertAlign w:val="superscript"/>
        </w:rPr>
        <w:t>15</w:t>
      </w:r>
      <w:r>
        <w:rPr>
          <w:rFonts w:ascii="Arial" w:hAnsi="Arial" w:cs="Arial"/>
          <w:color w:val="1F1F1F"/>
          <w:bdr w:val="none" w:sz="0" w:space="0" w:color="auto" w:frame="1"/>
        </w:rPr>
        <w:t xml:space="preserve"> During Shock 1.0, Germany and its industrial base </w:t>
      </w:r>
      <w:r>
        <w:rPr>
          <w:rFonts w:ascii="Arial" w:hAnsi="Arial" w:cs="Arial"/>
          <w:color w:val="1F1F1F"/>
          <w:bdr w:val="none" w:sz="0" w:space="0" w:color="auto" w:frame="1"/>
        </w:rPr>
        <w:lastRenderedPageBreak/>
        <w:t>were largely sheltered, thriving by exporting machinery and capital goods to meet Chinese and American demand.</w:t>
      </w:r>
      <w:r>
        <w:rPr>
          <w:rFonts w:ascii="Arial" w:hAnsi="Arial" w:cs="Arial"/>
          <w:color w:val="444746"/>
          <w:bdr w:val="none" w:sz="0" w:space="0" w:color="auto" w:frame="1"/>
          <w:vertAlign w:val="superscript"/>
        </w:rPr>
        <w:t>2</w:t>
      </w:r>
      <w:r>
        <w:rPr>
          <w:rFonts w:ascii="Arial" w:hAnsi="Arial" w:cs="Arial"/>
          <w:color w:val="1F1F1F"/>
          <w:bdr w:val="none" w:sz="0" w:space="0" w:color="auto" w:frame="1"/>
        </w:rPr>
        <w:t xml:space="preserve"> The current threat is fundamentally substitutive. China’s industry now directly produces goods that compete with the core of the German economy, including high-end automotive and engineering sectors.</w:t>
      </w:r>
      <w:r>
        <w:rPr>
          <w:rFonts w:ascii="Arial" w:hAnsi="Arial" w:cs="Arial"/>
          <w:color w:val="444746"/>
          <w:bdr w:val="none" w:sz="0" w:space="0" w:color="auto" w:frame="1"/>
          <w:vertAlign w:val="superscript"/>
        </w:rPr>
        <w:t>2</w:t>
      </w:r>
    </w:p>
    <w:p w14:paraId="753443B4"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The evidence of direct competition is stark: China was not a net vehicle exporter in 2020 but now exports 5 million more vehicles than it imports, significantly outpacing Germany's current 1.2 million export surplus.</w:t>
      </w:r>
      <w:r>
        <w:rPr>
          <w:rFonts w:ascii="Arial" w:hAnsi="Arial" w:cs="Arial"/>
          <w:color w:val="444746"/>
          <w:bdr w:val="none" w:sz="0" w:space="0" w:color="auto" w:frame="1"/>
          <w:vertAlign w:val="superscript"/>
        </w:rPr>
        <w:t>2</w:t>
      </w:r>
      <w:r>
        <w:rPr>
          <w:rFonts w:ascii="Arial" w:hAnsi="Arial" w:cs="Arial"/>
          <w:color w:val="1F1F1F"/>
          <w:bdr w:val="none" w:sz="0" w:space="0" w:color="auto" w:frame="1"/>
        </w:rPr>
        <w:t xml:space="preserve"> Furthermore, the euro area has suffered a loss in price competitiveness against China since 2021, primarily because euro area Producer Price Index (PPI) developments have been unfavorable relative to Chinese products, making European goods more expensive in global markets.</w:t>
      </w:r>
      <w:r>
        <w:rPr>
          <w:rFonts w:ascii="Arial" w:hAnsi="Arial" w:cs="Arial"/>
          <w:color w:val="444746"/>
          <w:bdr w:val="none" w:sz="0" w:space="0" w:color="auto" w:frame="1"/>
          <w:vertAlign w:val="superscript"/>
        </w:rPr>
        <w:t>3</w:t>
      </w:r>
    </w:p>
    <w:p w14:paraId="71163B29"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The European policy response has escalated significantly. The EU has imposed countervailing tariffs on Chinese EVs, ranging from 17% to 35.3%.</w:t>
      </w:r>
      <w:r>
        <w:rPr>
          <w:rFonts w:ascii="Arial" w:hAnsi="Arial" w:cs="Arial"/>
          <w:color w:val="444746"/>
          <w:bdr w:val="none" w:sz="0" w:space="0" w:color="auto" w:frame="1"/>
          <w:vertAlign w:val="superscript"/>
        </w:rPr>
        <w:t>17</w:t>
      </w:r>
      <w:r>
        <w:rPr>
          <w:rFonts w:ascii="Arial" w:hAnsi="Arial" w:cs="Arial"/>
          <w:color w:val="1F1F1F"/>
          <w:bdr w:val="none" w:sz="0" w:space="0" w:color="auto" w:frame="1"/>
        </w:rPr>
        <w:t xml:space="preserve"> Crucially, the EU is also leveraging newer tools like the Foreign Subsidies Regulation (FSR), passed in 2022, which grants the European Commission power to investigate investments suspected of being aided by foreign state subsidies.</w:t>
      </w:r>
      <w:r>
        <w:rPr>
          <w:rFonts w:ascii="Arial" w:hAnsi="Arial" w:cs="Arial"/>
          <w:color w:val="444746"/>
          <w:bdr w:val="none" w:sz="0" w:space="0" w:color="auto" w:frame="1"/>
          <w:vertAlign w:val="superscript"/>
        </w:rPr>
        <w:t>18</w:t>
      </w:r>
      <w:r>
        <w:rPr>
          <w:rFonts w:ascii="Arial" w:hAnsi="Arial" w:cs="Arial"/>
          <w:color w:val="1F1F1F"/>
          <w:bdr w:val="none" w:sz="0" w:space="0" w:color="auto" w:frame="1"/>
        </w:rPr>
        <w:t xml:space="preserve"> These measures are designed not merely to address price distortions and protect local firms, but also to influence Chinese investment decisions. The imposition of tariffs and increased regulatory scrutiny aims to coerce Chinese automakers to invest in production sites within the EU.</w:t>
      </w:r>
      <w:r>
        <w:rPr>
          <w:rFonts w:ascii="Arial" w:hAnsi="Arial" w:cs="Arial"/>
          <w:color w:val="444746"/>
          <w:bdr w:val="none" w:sz="0" w:space="0" w:color="auto" w:frame="1"/>
          <w:vertAlign w:val="superscript"/>
        </w:rPr>
        <w:t>17</w:t>
      </w:r>
      <w:r>
        <w:rPr>
          <w:rFonts w:ascii="Arial" w:hAnsi="Arial" w:cs="Arial"/>
          <w:color w:val="1F1F1F"/>
          <w:bdr w:val="none" w:sz="0" w:space="0" w:color="auto" w:frame="1"/>
        </w:rPr>
        <w:t xml:space="preserve"> This represents a strategic trade-off, attempting to convert an external competitive threat into a mandatory flow of foreign direct investment, potentially bolstering local job creation and capital influx while protecting strategic industries.</w:t>
      </w:r>
    </w:p>
    <w:p w14:paraId="7CE88DF3" w14:textId="77777777" w:rsidR="0085588B" w:rsidRDefault="0085588B" w:rsidP="0085588B">
      <w:pPr>
        <w:pStyle w:val="Heading4"/>
        <w:spacing w:before="0" w:after="120"/>
        <w:rPr>
          <w:rFonts w:ascii="Arial" w:hAnsi="Arial" w:cs="Arial"/>
          <w:color w:val="1F1F1F"/>
        </w:rPr>
      </w:pPr>
      <w:r>
        <w:rPr>
          <w:rFonts w:ascii="Arial" w:hAnsi="Arial" w:cs="Arial"/>
          <w:color w:val="1F1F1F"/>
        </w:rPr>
        <w:t>B. Northeast Asia (Japan and South Korea): GVC Substitution Risk</w:t>
      </w:r>
    </w:p>
    <w:p w14:paraId="009A9F70"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Northeast Asian economies were heavily exposed to China during Shock 1.0 through exports. In 2013, 26.1% of South Korea's exports and 18.1% of Japan's exports flowed to China.</w:t>
      </w:r>
      <w:r>
        <w:rPr>
          <w:rFonts w:ascii="Arial" w:hAnsi="Arial" w:cs="Arial"/>
          <w:color w:val="444746"/>
          <w:bdr w:val="none" w:sz="0" w:space="0" w:color="auto" w:frame="1"/>
          <w:vertAlign w:val="superscript"/>
        </w:rPr>
        <w:t>20</w:t>
      </w:r>
      <w:r>
        <w:rPr>
          <w:rFonts w:ascii="Arial" w:hAnsi="Arial" w:cs="Arial"/>
          <w:color w:val="1F1F1F"/>
          <w:bdr w:val="none" w:sz="0" w:space="0" w:color="auto" w:frame="1"/>
        </w:rPr>
        <w:t xml:space="preserve"> They were key beneficiaries of the GVC structure, supplying high-value components for China's assembly operations.</w:t>
      </w:r>
      <w:r>
        <w:rPr>
          <w:rFonts w:ascii="Arial" w:hAnsi="Arial" w:cs="Arial"/>
          <w:color w:val="444746"/>
          <w:bdr w:val="none" w:sz="0" w:space="0" w:color="auto" w:frame="1"/>
          <w:vertAlign w:val="superscript"/>
        </w:rPr>
        <w:t>10</w:t>
      </w:r>
    </w:p>
    <w:p w14:paraId="46E33E6A"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In Shock 2.0, this economic model is under direct threat. South Korea and Japan are now highly exposed to competition because their basket of exports—including advanced components, electronics, and capital goods—increasingly resembles China's high-tech focus.</w:t>
      </w:r>
      <w:r>
        <w:rPr>
          <w:rFonts w:ascii="Arial" w:hAnsi="Arial" w:cs="Arial"/>
          <w:color w:val="444746"/>
          <w:bdr w:val="none" w:sz="0" w:space="0" w:color="auto" w:frame="1"/>
          <w:vertAlign w:val="superscript"/>
        </w:rPr>
        <w:t>4</w:t>
      </w:r>
      <w:r>
        <w:rPr>
          <w:rFonts w:ascii="Arial" w:hAnsi="Arial" w:cs="Arial"/>
          <w:color w:val="1F1F1F"/>
          <w:bdr w:val="none" w:sz="0" w:space="0" w:color="auto" w:frame="1"/>
        </w:rPr>
        <w:t xml:space="preserve"> China's ambitious push for technological self-reliance, particularly in mature-node semiconductors, is designed to meet domestic demand with domestic supply.</w:t>
      </w:r>
      <w:r>
        <w:rPr>
          <w:rFonts w:ascii="Arial" w:hAnsi="Arial" w:cs="Arial"/>
          <w:color w:val="444746"/>
          <w:bdr w:val="none" w:sz="0" w:space="0" w:color="auto" w:frame="1"/>
          <w:vertAlign w:val="superscript"/>
        </w:rPr>
        <w:t>22</w:t>
      </w:r>
      <w:r>
        <w:rPr>
          <w:rFonts w:ascii="Arial" w:hAnsi="Arial" w:cs="Arial"/>
          <w:color w:val="1F1F1F"/>
          <w:bdr w:val="none" w:sz="0" w:space="0" w:color="auto" w:frame="1"/>
        </w:rPr>
        <w:t xml:space="preserve"> This strategy is actively crowding out foreign mature-node chipmakers who traditionally relied on the Chinese market for revenue, creating a substitution risk for technology giants in Seoul and Tokyo.</w:t>
      </w:r>
      <w:r>
        <w:rPr>
          <w:rFonts w:ascii="Arial" w:hAnsi="Arial" w:cs="Arial"/>
          <w:color w:val="444746"/>
          <w:bdr w:val="none" w:sz="0" w:space="0" w:color="auto" w:frame="1"/>
          <w:vertAlign w:val="superscript"/>
        </w:rPr>
        <w:t>22</w:t>
      </w:r>
    </w:p>
    <w:p w14:paraId="16DE413A"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Geopolitical responses, such as the US-led "Chip 4 Alliance," attempt to diversify supply chains and impose coordinated export controls on China.</w:t>
      </w:r>
      <w:r>
        <w:rPr>
          <w:rFonts w:ascii="Arial" w:hAnsi="Arial" w:cs="Arial"/>
          <w:color w:val="444746"/>
          <w:bdr w:val="none" w:sz="0" w:space="0" w:color="auto" w:frame="1"/>
          <w:vertAlign w:val="superscript"/>
        </w:rPr>
        <w:t>24</w:t>
      </w:r>
      <w:r>
        <w:rPr>
          <w:rFonts w:ascii="Arial" w:hAnsi="Arial" w:cs="Arial"/>
          <w:color w:val="1F1F1F"/>
          <w:bdr w:val="none" w:sz="0" w:space="0" w:color="auto" w:frame="1"/>
        </w:rPr>
        <w:t xml:space="preserve"> However, participation in such alliances is complicated by the deep economic integration. South Korea, in particular, maintains reservations regarding initiatives that excessively focus on isolating China, highlighting the difficulty these economies face in decoupling from their largest trading partner while attempting to secure supply chains through "friend-shoring".</w:t>
      </w:r>
      <w:r>
        <w:rPr>
          <w:rFonts w:ascii="Arial" w:hAnsi="Arial" w:cs="Arial"/>
          <w:color w:val="444746"/>
          <w:bdr w:val="none" w:sz="0" w:space="0" w:color="auto" w:frame="1"/>
          <w:vertAlign w:val="superscript"/>
        </w:rPr>
        <w:t>21</w:t>
      </w:r>
    </w:p>
    <w:p w14:paraId="67790F68" w14:textId="77777777" w:rsidR="0085588B" w:rsidRDefault="0085588B" w:rsidP="0085588B">
      <w:pPr>
        <w:pStyle w:val="Heading3"/>
        <w:spacing w:before="0" w:after="120"/>
        <w:rPr>
          <w:rFonts w:ascii="Arial" w:hAnsi="Arial" w:cs="Arial"/>
          <w:color w:val="1F1F1F"/>
        </w:rPr>
      </w:pPr>
      <w:r>
        <w:rPr>
          <w:rFonts w:ascii="Arial" w:hAnsi="Arial" w:cs="Arial"/>
          <w:color w:val="1F1F1F"/>
        </w:rPr>
        <w:t>4.2. Emerging Markets (EMs): The Development Paradox</w:t>
      </w:r>
    </w:p>
    <w:p w14:paraId="2A50F19C" w14:textId="77777777" w:rsidR="0085588B" w:rsidRDefault="0085588B" w:rsidP="0085588B">
      <w:pPr>
        <w:pStyle w:val="NormalWeb"/>
        <w:spacing w:before="0" w:beforeAutospacing="0" w:after="240" w:afterAutospacing="0"/>
        <w:rPr>
          <w:rFonts w:ascii="Arial" w:hAnsi="Arial" w:cs="Arial"/>
          <w:color w:val="1F1F1F"/>
        </w:rPr>
      </w:pPr>
      <w:r>
        <w:rPr>
          <w:rFonts w:ascii="Arial" w:hAnsi="Arial" w:cs="Arial"/>
          <w:color w:val="1F1F1F"/>
        </w:rPr>
        <w:t>The implications for Emerging Markets are complex and bifurcated, presenting both a deindustrialization threat and a green development opportunity.</w:t>
      </w:r>
    </w:p>
    <w:p w14:paraId="7E51A591"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The Deindustrialization Threat stems from China’s massive scale and dominance. EMs, including regions in Southeast Asia, are now at significant risk of deindustrialization as cheap, subsidized Chinese goods undercut their nascent </w:t>
      </w:r>
      <w:r>
        <w:rPr>
          <w:rFonts w:ascii="Arial" w:hAnsi="Arial" w:cs="Arial"/>
          <w:color w:val="1F1F1F"/>
          <w:bdr w:val="none" w:sz="0" w:space="0" w:color="auto" w:frame="1"/>
        </w:rPr>
        <w:lastRenderedPageBreak/>
        <w:t>manufacturing sectors.</w:t>
      </w:r>
      <w:r>
        <w:rPr>
          <w:rFonts w:ascii="Arial" w:hAnsi="Arial" w:cs="Arial"/>
          <w:color w:val="444746"/>
          <w:bdr w:val="none" w:sz="0" w:space="0" w:color="auto" w:frame="1"/>
          <w:vertAlign w:val="superscript"/>
        </w:rPr>
        <w:t>4</w:t>
      </w:r>
      <w:r>
        <w:rPr>
          <w:rFonts w:ascii="Arial" w:hAnsi="Arial" w:cs="Arial"/>
          <w:color w:val="1F1F1F"/>
          <w:bdr w:val="none" w:sz="0" w:space="0" w:color="auto" w:frame="1"/>
        </w:rPr>
        <w:t xml:space="preserve"> China's dominant position across numerous product categories restricts the necessary space for new manufacturing powers to emerge.</w:t>
      </w:r>
      <w:r>
        <w:rPr>
          <w:rFonts w:ascii="Arial" w:hAnsi="Arial" w:cs="Arial"/>
          <w:color w:val="444746"/>
          <w:bdr w:val="none" w:sz="0" w:space="0" w:color="auto" w:frame="1"/>
          <w:vertAlign w:val="superscript"/>
        </w:rPr>
        <w:t>25</w:t>
      </w:r>
      <w:r>
        <w:rPr>
          <w:rFonts w:ascii="Arial" w:hAnsi="Arial" w:cs="Arial"/>
          <w:color w:val="1F1F1F"/>
          <w:bdr w:val="none" w:sz="0" w:space="0" w:color="auto" w:frame="1"/>
        </w:rPr>
        <w:t xml:space="preserve"> Latin America and the Caribbean (LAC) countries, while often benefiting from commodity exports to China, find their attempts to diversify into non-commodity manufacturing vulnerable to intense Chinese competition.</w:t>
      </w:r>
      <w:r>
        <w:rPr>
          <w:rFonts w:ascii="Arial" w:hAnsi="Arial" w:cs="Arial"/>
          <w:color w:val="444746"/>
          <w:bdr w:val="none" w:sz="0" w:space="0" w:color="auto" w:frame="1"/>
          <w:vertAlign w:val="superscript"/>
        </w:rPr>
        <w:t>26</w:t>
      </w:r>
    </w:p>
    <w:p w14:paraId="1D4998D9"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However, a powerful counter-trend exists: the Green Leapfrog Benefit. The glut of affordable Chinese green technology (solar equipment, EV components) enables developing countries to bypass the carbon-intensive development model historically followed by industrialized nations.</w:t>
      </w:r>
      <w:r>
        <w:rPr>
          <w:rFonts w:ascii="Arial" w:hAnsi="Arial" w:cs="Arial"/>
          <w:color w:val="444746"/>
          <w:bdr w:val="none" w:sz="0" w:space="0" w:color="auto" w:frame="1"/>
          <w:vertAlign w:val="superscript"/>
        </w:rPr>
        <w:t>5</w:t>
      </w:r>
      <w:r>
        <w:rPr>
          <w:rFonts w:ascii="Arial" w:hAnsi="Arial" w:cs="Arial"/>
          <w:color w:val="1F1F1F"/>
          <w:bdr w:val="none" w:sz="0" w:space="0" w:color="auto" w:frame="1"/>
        </w:rPr>
        <w:t xml:space="preserve"> Instead of investing in coal or fossil fuel infrastructure, these nations can leapfrog directly into cleaner energy sources, greatly enhancing energy security and reducing dependence on volatile fossil fuel imports.</w:t>
      </w:r>
      <w:r>
        <w:rPr>
          <w:rFonts w:ascii="Arial" w:hAnsi="Arial" w:cs="Arial"/>
          <w:color w:val="444746"/>
          <w:bdr w:val="none" w:sz="0" w:space="0" w:color="auto" w:frame="1"/>
          <w:vertAlign w:val="superscript"/>
        </w:rPr>
        <w:t>5</w:t>
      </w:r>
      <w:r>
        <w:rPr>
          <w:rFonts w:ascii="Arial" w:hAnsi="Arial" w:cs="Arial"/>
          <w:color w:val="1F1F1F"/>
          <w:bdr w:val="none" w:sz="0" w:space="0" w:color="auto" w:frame="1"/>
        </w:rPr>
        <w:t xml:space="preserve"> This creates a virtuous cycle where global climate goals are accelerated by Chinese overcapacity, offering a form of "free riding" on Chinese industrial subsidies.</w:t>
      </w:r>
      <w:r>
        <w:rPr>
          <w:rFonts w:ascii="Arial" w:hAnsi="Arial" w:cs="Arial"/>
          <w:color w:val="444746"/>
          <w:bdr w:val="none" w:sz="0" w:space="0" w:color="auto" w:frame="1"/>
          <w:vertAlign w:val="superscript"/>
        </w:rPr>
        <w:t>28</w:t>
      </w:r>
    </w:p>
    <w:p w14:paraId="2B798956"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This situation presents a fundamental policy dilemma for EMs, especially those lacking the fiscal capacity to compete in a global subsidies race.</w:t>
      </w:r>
      <w:r>
        <w:rPr>
          <w:rFonts w:ascii="Arial" w:hAnsi="Arial" w:cs="Arial"/>
          <w:color w:val="444746"/>
          <w:bdr w:val="none" w:sz="0" w:space="0" w:color="auto" w:frame="1"/>
          <w:vertAlign w:val="superscript"/>
        </w:rPr>
        <w:t>28</w:t>
      </w:r>
      <w:r>
        <w:rPr>
          <w:rFonts w:ascii="Arial" w:hAnsi="Arial" w:cs="Arial"/>
          <w:color w:val="1F1F1F"/>
          <w:bdr w:val="none" w:sz="0" w:space="0" w:color="auto" w:frame="1"/>
        </w:rPr>
        <w:t xml:space="preserve"> They must carefully assess whether the immediate environmental and economic benefits of cheap Chinese technology outweigh the long-term cost of sacrificing the opportunity to build local manufacturing capacity in strategic future sectors like batteries and solar.</w:t>
      </w:r>
    </w:p>
    <w:p w14:paraId="70966D2C"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Despite the competition threat, some EMs benefit from the supply chain restructuring triggered by US and EU de-risking policies. Production relocation is moving to "Alt China" destinations in Asia, Latin America, and Central and Eastern Europe.</w:t>
      </w:r>
      <w:r>
        <w:rPr>
          <w:rFonts w:ascii="Arial" w:hAnsi="Arial" w:cs="Arial"/>
          <w:color w:val="444746"/>
          <w:bdr w:val="none" w:sz="0" w:space="0" w:color="auto" w:frame="1"/>
          <w:vertAlign w:val="superscript"/>
        </w:rPr>
        <w:t>29</w:t>
      </w:r>
      <w:r>
        <w:rPr>
          <w:rFonts w:ascii="Arial" w:hAnsi="Arial" w:cs="Arial"/>
          <w:color w:val="1F1F1F"/>
          <w:bdr w:val="none" w:sz="0" w:space="0" w:color="auto" w:frame="1"/>
        </w:rPr>
        <w:t xml:space="preserve"> Mexico, positioned as a nearshoring hub to serve North American demand, and Vietnam, a compelling candidate for rerouting supply chains due to its geographic and cultural proximity to China, are key beneficiaries of this diversification trend.</w:t>
      </w:r>
      <w:r>
        <w:rPr>
          <w:rFonts w:ascii="Arial" w:hAnsi="Arial" w:cs="Arial"/>
          <w:color w:val="444746"/>
          <w:bdr w:val="none" w:sz="0" w:space="0" w:color="auto" w:frame="1"/>
          <w:vertAlign w:val="superscript"/>
        </w:rPr>
        <w:t>29</w:t>
      </w:r>
    </w:p>
    <w:p w14:paraId="55E73562" w14:textId="77777777" w:rsidR="0085588B" w:rsidRDefault="0085588B" w:rsidP="0085588B">
      <w:pPr>
        <w:pStyle w:val="Heading2"/>
        <w:spacing w:before="0" w:after="120"/>
        <w:rPr>
          <w:rFonts w:ascii="Arial" w:hAnsi="Arial" w:cs="Arial"/>
          <w:color w:val="1F1F1F"/>
        </w:rPr>
      </w:pPr>
      <w:r>
        <w:rPr>
          <w:rFonts w:ascii="Arial" w:hAnsi="Arial" w:cs="Arial"/>
          <w:color w:val="1F1F1F"/>
        </w:rPr>
        <w:t>V. Quantification of Exposure: Highlighting Vulnerable and Resilient Economies</w:t>
      </w:r>
    </w:p>
    <w:p w14:paraId="21F7C8F2" w14:textId="77777777" w:rsidR="0085588B" w:rsidRDefault="0085588B" w:rsidP="0085588B">
      <w:pPr>
        <w:pStyle w:val="NormalWeb"/>
        <w:spacing w:before="0" w:beforeAutospacing="0" w:after="240" w:afterAutospacing="0"/>
        <w:rPr>
          <w:rFonts w:ascii="Arial" w:hAnsi="Arial" w:cs="Arial"/>
          <w:color w:val="1F1F1F"/>
        </w:rPr>
      </w:pPr>
      <w:r>
        <w:rPr>
          <w:rFonts w:ascii="Arial" w:hAnsi="Arial" w:cs="Arial"/>
          <w:color w:val="1F1F1F"/>
        </w:rPr>
        <w:t>In China Shock 2.0, vulnerability is defined not by reliance on Chinese imports for consumer goods (the Shock 1.0 pattern) but by the extent of overlap between a country’s core export base (machinery, vehicles, precision components) and China's high-technology focus, combined with reliance on Chinese high-value intermediate inputs.</w:t>
      </w:r>
    </w:p>
    <w:p w14:paraId="39E4A54F" w14:textId="77777777" w:rsidR="0085588B" w:rsidRDefault="0085588B" w:rsidP="0085588B">
      <w:pPr>
        <w:pStyle w:val="Heading3"/>
        <w:spacing w:before="0" w:after="120"/>
        <w:rPr>
          <w:rFonts w:ascii="Arial" w:hAnsi="Arial" w:cs="Arial"/>
          <w:color w:val="1F1F1F"/>
        </w:rPr>
      </w:pPr>
      <w:r>
        <w:rPr>
          <w:rFonts w:ascii="Arial" w:hAnsi="Arial" w:cs="Arial"/>
          <w:color w:val="1F1F1F"/>
        </w:rPr>
        <w:t>5.1. Comparative Synthesis: Similarities and Differences in Exposure Patterns</w:t>
      </w:r>
    </w:p>
    <w:p w14:paraId="13A6A6C9"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Both the first and second shocks share the core similarity of involving a massive, sustained export surge enabled by state intervention—whether through currency undervaluation in 1.0 or extensive subsidies and industrial policy distortion in 2.0.</w:t>
      </w:r>
      <w:r>
        <w:rPr>
          <w:rFonts w:ascii="Arial" w:hAnsi="Arial" w:cs="Arial"/>
          <w:color w:val="444746"/>
          <w:bdr w:val="none" w:sz="0" w:space="0" w:color="auto" w:frame="1"/>
          <w:vertAlign w:val="superscript"/>
        </w:rPr>
        <w:t>4</w:t>
      </w:r>
      <w:r>
        <w:rPr>
          <w:rFonts w:ascii="Arial" w:hAnsi="Arial" w:cs="Arial"/>
          <w:color w:val="1F1F1F"/>
          <w:bdr w:val="none" w:sz="0" w:space="0" w:color="auto" w:frame="1"/>
        </w:rPr>
        <w:t xml:space="preserve"> The fundamental difference lies in the nature and geographic scope of the exposure. Shock 1.0 exposure was characterized by import volume causing domestic labor displacement in sectors like textiles (primarily impacting the US).</w:t>
      </w:r>
      <w:r>
        <w:rPr>
          <w:rFonts w:ascii="Arial" w:hAnsi="Arial" w:cs="Arial"/>
          <w:color w:val="444746"/>
          <w:bdr w:val="none" w:sz="0" w:space="0" w:color="auto" w:frame="1"/>
          <w:vertAlign w:val="superscript"/>
        </w:rPr>
        <w:t>1</w:t>
      </w:r>
      <w:r>
        <w:rPr>
          <w:rFonts w:ascii="Arial" w:hAnsi="Arial" w:cs="Arial"/>
          <w:color w:val="1F1F1F"/>
          <w:bdr w:val="none" w:sz="0" w:space="0" w:color="auto" w:frame="1"/>
        </w:rPr>
        <w:t xml:space="preserve"> Shock 2.0 exposure is characterized by direct </w:t>
      </w:r>
      <w:r>
        <w:rPr>
          <w:rFonts w:ascii="Arial" w:hAnsi="Arial" w:cs="Arial"/>
          <w:i/>
          <w:iCs/>
          <w:color w:val="1F1F1F"/>
          <w:bdr w:val="none" w:sz="0" w:space="0" w:color="auto" w:frame="1"/>
        </w:rPr>
        <w:t>export competition</w:t>
      </w:r>
      <w:r>
        <w:rPr>
          <w:rFonts w:ascii="Arial" w:hAnsi="Arial" w:cs="Arial"/>
          <w:color w:val="1F1F1F"/>
          <w:bdr w:val="none" w:sz="0" w:space="0" w:color="auto" w:frame="1"/>
        </w:rPr>
        <w:t xml:space="preserve"> in third markets, undermining the competitive edge of European and Advanced Asian exporters.</w:t>
      </w:r>
      <w:r>
        <w:rPr>
          <w:rFonts w:ascii="Arial" w:hAnsi="Arial" w:cs="Arial"/>
          <w:color w:val="444746"/>
          <w:bdr w:val="none" w:sz="0" w:space="0" w:color="auto" w:frame="1"/>
          <w:vertAlign w:val="superscript"/>
        </w:rPr>
        <w:t>31</w:t>
      </w:r>
    </w:p>
    <w:p w14:paraId="7B5933C0" w14:textId="77777777" w:rsidR="0085588B" w:rsidRDefault="0085588B" w:rsidP="0085588B">
      <w:pPr>
        <w:pStyle w:val="NormalWeb"/>
        <w:spacing w:before="0" w:beforeAutospacing="0" w:after="240" w:afterAutospacing="0"/>
        <w:rPr>
          <w:rFonts w:ascii="Arial" w:hAnsi="Arial" w:cs="Arial"/>
          <w:color w:val="1F1F1F"/>
        </w:rPr>
      </w:pPr>
      <w:r>
        <w:rPr>
          <w:rFonts w:ascii="Arial" w:hAnsi="Arial" w:cs="Arial"/>
          <w:color w:val="1F1F1F"/>
        </w:rPr>
        <w:t>Table 2: Geographic Exposure to Chinese Manufacturing Competition: Shock 1.0 vs. Shock 2.0</w:t>
      </w:r>
    </w:p>
    <w:tbl>
      <w:tblPr>
        <w:tblW w:w="0" w:type="auto"/>
        <w:tblCellSpacing w:w="15" w:type="dxa"/>
        <w:tblCellMar>
          <w:left w:w="0" w:type="dxa"/>
          <w:right w:w="0" w:type="dxa"/>
        </w:tblCellMar>
        <w:tblLook w:val="04A0" w:firstRow="1" w:lastRow="0" w:firstColumn="1" w:lastColumn="0" w:noHBand="0" w:noVBand="1"/>
      </w:tblPr>
      <w:tblGrid>
        <w:gridCol w:w="2387"/>
        <w:gridCol w:w="2550"/>
        <w:gridCol w:w="2395"/>
        <w:gridCol w:w="1678"/>
      </w:tblGrid>
      <w:tr w:rsidR="0085588B" w14:paraId="0A03C9D1" w14:textId="77777777" w:rsidTr="0085588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33893" w14:textId="77777777" w:rsidR="0085588B" w:rsidRDefault="0085588B">
            <w:pPr>
              <w:rPr>
                <w:rFonts w:ascii="Arial" w:hAnsi="Arial" w:cs="Arial"/>
                <w:color w:val="1F1F1F"/>
              </w:rPr>
            </w:pPr>
            <w:r>
              <w:rPr>
                <w:rStyle w:val="Strong"/>
                <w:rFonts w:ascii="Arial" w:hAnsi="Arial" w:cs="Arial"/>
                <w:color w:val="1F1F1F"/>
                <w:bdr w:val="none" w:sz="0" w:space="0" w:color="auto" w:frame="1"/>
              </w:rPr>
              <w:lastRenderedPageBreak/>
              <w:t>Country/Region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E2190" w14:textId="77777777" w:rsidR="0085588B" w:rsidRDefault="0085588B">
            <w:pPr>
              <w:rPr>
                <w:rFonts w:ascii="Arial" w:hAnsi="Arial" w:cs="Arial"/>
                <w:color w:val="1F1F1F"/>
              </w:rPr>
            </w:pPr>
            <w:r>
              <w:rPr>
                <w:rStyle w:val="Strong"/>
                <w:rFonts w:ascii="Arial" w:hAnsi="Arial" w:cs="Arial"/>
                <w:color w:val="1F1F1F"/>
                <w:bdr w:val="none" w:sz="0" w:space="0" w:color="auto" w:frame="1"/>
              </w:rPr>
              <w:t>Primary Exposure Type in Shock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A7A0F" w14:textId="77777777" w:rsidR="0085588B" w:rsidRDefault="0085588B">
            <w:pPr>
              <w:rPr>
                <w:rFonts w:ascii="Arial" w:hAnsi="Arial" w:cs="Arial"/>
                <w:color w:val="1F1F1F"/>
              </w:rPr>
            </w:pPr>
            <w:r>
              <w:rPr>
                <w:rStyle w:val="Strong"/>
                <w:rFonts w:ascii="Arial" w:hAnsi="Arial" w:cs="Arial"/>
                <w:color w:val="1F1F1F"/>
                <w:bdr w:val="none" w:sz="0" w:space="0" w:color="auto" w:frame="1"/>
              </w:rPr>
              <w:t>Primary Exposure Type in Shock 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98F1A" w14:textId="77777777" w:rsidR="0085588B" w:rsidRDefault="0085588B">
            <w:pPr>
              <w:rPr>
                <w:rFonts w:ascii="Arial" w:hAnsi="Arial" w:cs="Arial"/>
                <w:color w:val="1F1F1F"/>
              </w:rPr>
            </w:pPr>
            <w:r>
              <w:rPr>
                <w:rStyle w:val="Strong"/>
                <w:rFonts w:ascii="Arial" w:hAnsi="Arial" w:cs="Arial"/>
                <w:color w:val="1F1F1F"/>
                <w:bdr w:val="none" w:sz="0" w:space="0" w:color="auto" w:frame="1"/>
              </w:rPr>
              <w:t>Strategic Implication of Shift</w:t>
            </w:r>
          </w:p>
        </w:tc>
      </w:tr>
      <w:tr w:rsidR="0085588B" w14:paraId="64628693" w14:textId="77777777" w:rsidTr="008558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203A8" w14:textId="77777777" w:rsidR="0085588B" w:rsidRDefault="0085588B">
            <w:pPr>
              <w:rPr>
                <w:rFonts w:ascii="Arial" w:hAnsi="Arial" w:cs="Arial"/>
                <w:color w:val="1F1F1F"/>
              </w:rPr>
            </w:pPr>
            <w:r>
              <w:rPr>
                <w:rFonts w:ascii="Arial" w:hAnsi="Arial" w:cs="Arial"/>
                <w:b/>
                <w:bCs/>
                <w:color w:val="1F1F1F"/>
                <w:bdr w:val="none" w:sz="0" w:space="0" w:color="auto" w:frame="1"/>
              </w:rPr>
              <w:t>Germany/Eurozone North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32EBB" w14:textId="77777777" w:rsidR="0085588B" w:rsidRDefault="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Low/Complementary (Exporting high-end capital goods to China) </w:t>
            </w:r>
            <w:r>
              <w:rPr>
                <w:rFonts w:ascii="Arial" w:hAnsi="Arial" w:cs="Arial"/>
                <w:color w:val="444746"/>
                <w:bdr w:val="none" w:sz="0" w:space="0" w:color="auto" w:frame="1"/>
                <w:vertAlign w:val="superscript"/>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48896" w14:textId="77777777" w:rsidR="0085588B" w:rsidRDefault="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High/Competitive (Direct rivalry in EVs, Machinery) </w:t>
            </w:r>
            <w:r>
              <w:rPr>
                <w:rFonts w:ascii="Arial" w:hAnsi="Arial" w:cs="Arial"/>
                <w:color w:val="444746"/>
                <w:bdr w:val="none" w:sz="0" w:space="0" w:color="auto" w:frame="1"/>
                <w:vertAlign w:val="superscript"/>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8B55D" w14:textId="77777777" w:rsidR="0085588B" w:rsidRDefault="0085588B">
            <w:pPr>
              <w:rPr>
                <w:rFonts w:ascii="Arial" w:hAnsi="Arial" w:cs="Arial"/>
                <w:color w:val="1F1F1F"/>
              </w:rPr>
            </w:pPr>
            <w:r>
              <w:rPr>
                <w:rFonts w:ascii="Arial" w:hAnsi="Arial" w:cs="Arial"/>
                <w:color w:val="1F1F1F"/>
                <w:bdr w:val="none" w:sz="0" w:space="0" w:color="auto" w:frame="1"/>
              </w:rPr>
              <w:t>Loss of core industrial competitive moat and export markets</w:t>
            </w:r>
          </w:p>
        </w:tc>
      </w:tr>
      <w:tr w:rsidR="0085588B" w14:paraId="3D91AE2F" w14:textId="77777777" w:rsidTr="008558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1B4C8" w14:textId="77777777" w:rsidR="0085588B" w:rsidRDefault="0085588B">
            <w:pPr>
              <w:rPr>
                <w:rFonts w:ascii="Arial" w:hAnsi="Arial" w:cs="Arial"/>
                <w:color w:val="1F1F1F"/>
              </w:rPr>
            </w:pPr>
            <w:r>
              <w:rPr>
                <w:rFonts w:ascii="Arial" w:hAnsi="Arial" w:cs="Arial"/>
                <w:b/>
                <w:bCs/>
                <w:color w:val="1F1F1F"/>
                <w:bdr w:val="none" w:sz="0" w:space="0" w:color="auto" w:frame="1"/>
              </w:rPr>
              <w:t>South Korea/Japan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12E67" w14:textId="77777777" w:rsidR="0085588B" w:rsidRDefault="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GVC Partner/Input Supplier </w:t>
            </w:r>
            <w:r>
              <w:rPr>
                <w:rFonts w:ascii="Arial" w:hAnsi="Arial" w:cs="Arial"/>
                <w:color w:val="444746"/>
                <w:bdr w:val="none" w:sz="0" w:space="0" w:color="auto" w:frame="1"/>
                <w:vertAlign w:val="superscript"/>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E05C6" w14:textId="77777777" w:rsidR="0085588B" w:rsidRDefault="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High/Competitive (Semiconductors, Advanced Manufacturing) </w:t>
            </w:r>
            <w:r>
              <w:rPr>
                <w:rFonts w:ascii="Arial" w:hAnsi="Arial" w:cs="Arial"/>
                <w:color w:val="444746"/>
                <w:bdr w:val="none" w:sz="0" w:space="0" w:color="auto" w:frame="1"/>
                <w:vertAlign w:val="superscript"/>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06D65" w14:textId="77777777" w:rsidR="0085588B" w:rsidRDefault="0085588B">
            <w:pPr>
              <w:rPr>
                <w:rFonts w:ascii="Arial" w:hAnsi="Arial" w:cs="Arial"/>
                <w:color w:val="1F1F1F"/>
              </w:rPr>
            </w:pPr>
            <w:r>
              <w:rPr>
                <w:rFonts w:ascii="Arial" w:hAnsi="Arial" w:cs="Arial"/>
                <w:color w:val="1F1F1F"/>
                <w:bdr w:val="none" w:sz="0" w:space="0" w:color="auto" w:frame="1"/>
              </w:rPr>
              <w:t>Direct technological substitution and erosion of GVC input dominance</w:t>
            </w:r>
          </w:p>
        </w:tc>
      </w:tr>
      <w:tr w:rsidR="0085588B" w14:paraId="7CCF4020" w14:textId="77777777" w:rsidTr="008558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40988" w14:textId="77777777" w:rsidR="0085588B" w:rsidRDefault="0085588B">
            <w:pPr>
              <w:rPr>
                <w:rFonts w:ascii="Arial" w:hAnsi="Arial" w:cs="Arial"/>
                <w:color w:val="1F1F1F"/>
              </w:rPr>
            </w:pPr>
            <w:r>
              <w:rPr>
                <w:rFonts w:ascii="Arial" w:hAnsi="Arial" w:cs="Arial"/>
                <w:b/>
                <w:bCs/>
                <w:color w:val="1F1F1F"/>
                <w:bdr w:val="none" w:sz="0" w:space="0" w:color="auto" w:frame="1"/>
              </w:rPr>
              <w:t>United States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E72B0" w14:textId="77777777" w:rsidR="0085588B" w:rsidRDefault="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High (Import Surge, Labor Displacement) </w:t>
            </w:r>
            <w:r>
              <w:rPr>
                <w:rFonts w:ascii="Arial" w:hAnsi="Arial" w:cs="Arial"/>
                <w:color w:val="444746"/>
                <w:bdr w:val="none" w:sz="0" w:space="0" w:color="auto" w:frame="1"/>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279F8" w14:textId="77777777" w:rsidR="0085588B" w:rsidRDefault="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Medium (Focus on tariffs, supply chain security, regional import reliance) </w:t>
            </w:r>
            <w:r>
              <w:rPr>
                <w:rFonts w:ascii="Arial" w:hAnsi="Arial" w:cs="Arial"/>
                <w:color w:val="444746"/>
                <w:bdr w:val="none" w:sz="0" w:space="0" w:color="auto" w:frame="1"/>
                <w:vertAlign w:val="superscript"/>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DE321" w14:textId="77777777" w:rsidR="0085588B" w:rsidRDefault="0085588B">
            <w:pPr>
              <w:rPr>
                <w:rFonts w:ascii="Arial" w:hAnsi="Arial" w:cs="Arial"/>
                <w:color w:val="1F1F1F"/>
              </w:rPr>
            </w:pPr>
            <w:r>
              <w:rPr>
                <w:rFonts w:ascii="Arial" w:hAnsi="Arial" w:cs="Arial"/>
                <w:color w:val="1F1F1F"/>
                <w:bdr w:val="none" w:sz="0" w:space="0" w:color="auto" w:frame="1"/>
              </w:rPr>
              <w:t>Vulnerability shifted from blue-collar jobs to strategic technology control and geopolitical leverage</w:t>
            </w:r>
          </w:p>
        </w:tc>
      </w:tr>
      <w:tr w:rsidR="0085588B" w14:paraId="369FBB0B" w14:textId="77777777" w:rsidTr="008558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C1558" w14:textId="77777777" w:rsidR="0085588B" w:rsidRDefault="0085588B">
            <w:pPr>
              <w:rPr>
                <w:rFonts w:ascii="Arial" w:hAnsi="Arial" w:cs="Arial"/>
                <w:color w:val="1F1F1F"/>
              </w:rPr>
            </w:pPr>
            <w:r>
              <w:rPr>
                <w:rFonts w:ascii="Arial" w:hAnsi="Arial" w:cs="Arial"/>
                <w:b/>
                <w:bCs/>
                <w:color w:val="1F1F1F"/>
                <w:bdr w:val="none" w:sz="0" w:space="0" w:color="auto" w:frame="1"/>
              </w:rPr>
              <w:t>Southeast Asia (e.g., Vietnam)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BA569" w14:textId="77777777" w:rsidR="0085588B" w:rsidRDefault="0085588B">
            <w:pPr>
              <w:rPr>
                <w:rFonts w:ascii="Arial" w:hAnsi="Arial" w:cs="Arial"/>
                <w:color w:val="1F1F1F"/>
              </w:rPr>
            </w:pPr>
            <w:r>
              <w:rPr>
                <w:rFonts w:ascii="Arial" w:hAnsi="Arial" w:cs="Arial"/>
                <w:color w:val="1F1F1F"/>
                <w:bdr w:val="none" w:sz="0" w:space="0" w:color="auto" w:frame="1"/>
              </w:rPr>
              <w:t>Beneficial (Receiving low-end GVC relocation)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5A22F" w14:textId="77777777" w:rsidR="0085588B" w:rsidRDefault="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Mixed (Deindustrialization risk vs. Alt-China hub status) </w:t>
            </w:r>
            <w:r>
              <w:rPr>
                <w:rFonts w:ascii="Arial" w:hAnsi="Arial" w:cs="Arial"/>
                <w:color w:val="444746"/>
                <w:bdr w:val="none" w:sz="0" w:space="0" w:color="auto" w:frame="1"/>
                <w:vertAlign w:val="superscript"/>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BB445" w14:textId="77777777" w:rsidR="0085588B" w:rsidRDefault="0085588B">
            <w:pPr>
              <w:rPr>
                <w:rFonts w:ascii="Arial" w:hAnsi="Arial" w:cs="Arial"/>
                <w:color w:val="1F1F1F"/>
              </w:rPr>
            </w:pPr>
            <w:r>
              <w:rPr>
                <w:rFonts w:ascii="Arial" w:hAnsi="Arial" w:cs="Arial"/>
                <w:color w:val="1F1F1F"/>
                <w:bdr w:val="none" w:sz="0" w:space="0" w:color="auto" w:frame="1"/>
              </w:rPr>
              <w:t>Bifurcated outcome requiring careful policy navigation between growth and protection</w:t>
            </w:r>
          </w:p>
        </w:tc>
      </w:tr>
    </w:tbl>
    <w:p w14:paraId="28D77821" w14:textId="77777777" w:rsidR="0085588B" w:rsidRDefault="0085588B" w:rsidP="0085588B">
      <w:pPr>
        <w:pStyle w:val="Heading3"/>
        <w:spacing w:before="0" w:after="120"/>
        <w:rPr>
          <w:rFonts w:ascii="Arial" w:hAnsi="Arial" w:cs="Arial"/>
          <w:color w:val="1F1F1F"/>
        </w:rPr>
      </w:pPr>
      <w:r>
        <w:rPr>
          <w:rFonts w:ascii="Arial" w:hAnsi="Arial" w:cs="Arial"/>
          <w:color w:val="1F1F1F"/>
        </w:rPr>
        <w:t>5.2. Countries Most Exposed to China Shock 2.0 (High Competition/Substitution Risk)</w:t>
      </w:r>
    </w:p>
    <w:p w14:paraId="6D284960"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The countries facing the greatest direct industrial and export risks are those whose economic foundation rests on the high-value manufacturing segments now being aggressively targeted by China's "New Trio".</w:t>
      </w:r>
      <w:r>
        <w:rPr>
          <w:rFonts w:ascii="Arial" w:hAnsi="Arial" w:cs="Arial"/>
          <w:color w:val="444746"/>
          <w:bdr w:val="none" w:sz="0" w:space="0" w:color="auto" w:frame="1"/>
          <w:vertAlign w:val="superscript"/>
        </w:rPr>
        <w:t>11</w:t>
      </w:r>
    </w:p>
    <w:p w14:paraId="3D93DB57" w14:textId="77777777" w:rsidR="0085588B" w:rsidRDefault="0085588B" w:rsidP="0085588B">
      <w:pPr>
        <w:pStyle w:val="NormalWeb"/>
        <w:numPr>
          <w:ilvl w:val="0"/>
          <w:numId w:val="1"/>
        </w:numPr>
        <w:spacing w:before="0" w:beforeAutospacing="0" w:after="0" w:afterAutospacing="0"/>
        <w:rPr>
          <w:rFonts w:ascii="Arial" w:hAnsi="Arial" w:cs="Arial"/>
          <w:color w:val="1F1F1F"/>
        </w:rPr>
      </w:pPr>
      <w:r>
        <w:rPr>
          <w:rFonts w:ascii="Arial" w:hAnsi="Arial" w:cs="Arial"/>
          <w:b/>
          <w:bCs/>
          <w:color w:val="1F1F1F"/>
          <w:bdr w:val="none" w:sz="0" w:space="0" w:color="auto" w:frame="1"/>
        </w:rPr>
        <w:t>Germany:</w:t>
      </w:r>
      <w:r>
        <w:rPr>
          <w:rFonts w:ascii="Arial" w:hAnsi="Arial" w:cs="Arial"/>
          <w:color w:val="1F1F1F"/>
          <w:bdr w:val="none" w:sz="0" w:space="0" w:color="auto" w:frame="1"/>
        </w:rPr>
        <w:t xml:space="preserve"> Extremely exposed. Its entire export model, built on automotive, machinery, and key green industries, is under direct threat.</w:t>
      </w:r>
      <w:r>
        <w:rPr>
          <w:rFonts w:ascii="Arial" w:hAnsi="Arial" w:cs="Arial"/>
          <w:color w:val="444746"/>
          <w:bdr w:val="none" w:sz="0" w:space="0" w:color="auto" w:frame="1"/>
          <w:vertAlign w:val="superscript"/>
        </w:rPr>
        <w:t>2</w:t>
      </w:r>
      <w:r>
        <w:rPr>
          <w:rFonts w:ascii="Arial" w:hAnsi="Arial" w:cs="Arial"/>
          <w:color w:val="1F1F1F"/>
          <w:bdr w:val="none" w:sz="0" w:space="0" w:color="auto" w:frame="1"/>
        </w:rPr>
        <w:t xml:space="preserve"> The contraction </w:t>
      </w:r>
      <w:r>
        <w:rPr>
          <w:rFonts w:ascii="Arial" w:hAnsi="Arial" w:cs="Arial"/>
          <w:color w:val="1F1F1F"/>
          <w:bdr w:val="none" w:sz="0" w:space="0" w:color="auto" w:frame="1"/>
        </w:rPr>
        <w:lastRenderedPageBreak/>
        <w:t>of German capital and durable goods exports alongside China's expansion underscores this vulnerability.</w:t>
      </w:r>
    </w:p>
    <w:p w14:paraId="6C526EFF" w14:textId="77777777" w:rsidR="0085588B" w:rsidRDefault="0085588B" w:rsidP="0085588B">
      <w:pPr>
        <w:pStyle w:val="NormalWeb"/>
        <w:numPr>
          <w:ilvl w:val="0"/>
          <w:numId w:val="1"/>
        </w:numPr>
        <w:spacing w:before="0" w:beforeAutospacing="0" w:after="0" w:afterAutospacing="0"/>
        <w:rPr>
          <w:rFonts w:ascii="Arial" w:hAnsi="Arial" w:cs="Arial"/>
          <w:color w:val="1F1F1F"/>
        </w:rPr>
      </w:pPr>
      <w:r>
        <w:rPr>
          <w:rFonts w:ascii="Arial" w:hAnsi="Arial" w:cs="Arial"/>
          <w:b/>
          <w:bCs/>
          <w:color w:val="1F1F1F"/>
          <w:bdr w:val="none" w:sz="0" w:space="0" w:color="auto" w:frame="1"/>
        </w:rPr>
        <w:t>South Korea and Japan:</w:t>
      </w:r>
      <w:r>
        <w:rPr>
          <w:rFonts w:ascii="Arial" w:hAnsi="Arial" w:cs="Arial"/>
          <w:color w:val="1F1F1F"/>
          <w:bdr w:val="none" w:sz="0" w:space="0" w:color="auto" w:frame="1"/>
        </w:rPr>
        <w:t xml:space="preserve"> Highly exposed. Their strategic reliance on supplying advanced inputs to Chinese value chains is threatened by China’s accelerating drive for technological self-sufficiency, particularly in areas like mature-node semiconductors.</w:t>
      </w:r>
      <w:r>
        <w:rPr>
          <w:rFonts w:ascii="Arial" w:hAnsi="Arial" w:cs="Arial"/>
          <w:color w:val="444746"/>
          <w:bdr w:val="none" w:sz="0" w:space="0" w:color="auto" w:frame="1"/>
          <w:vertAlign w:val="superscript"/>
        </w:rPr>
        <w:t>4</w:t>
      </w:r>
    </w:p>
    <w:p w14:paraId="31791709" w14:textId="77777777" w:rsidR="0085588B" w:rsidRDefault="0085588B" w:rsidP="0085588B">
      <w:pPr>
        <w:pStyle w:val="NormalWeb"/>
        <w:numPr>
          <w:ilvl w:val="0"/>
          <w:numId w:val="1"/>
        </w:numPr>
        <w:spacing w:before="0" w:beforeAutospacing="0" w:after="0" w:afterAutospacing="0"/>
        <w:rPr>
          <w:rFonts w:ascii="Arial" w:hAnsi="Arial" w:cs="Arial"/>
          <w:color w:val="1F1F1F"/>
        </w:rPr>
      </w:pPr>
      <w:r>
        <w:rPr>
          <w:rFonts w:ascii="Arial" w:hAnsi="Arial" w:cs="Arial"/>
          <w:b/>
          <w:bCs/>
          <w:color w:val="1F1F1F"/>
          <w:bdr w:val="none" w:sz="0" w:space="0" w:color="auto" w:frame="1"/>
        </w:rPr>
        <w:t>Netherlands:</w:t>
      </w:r>
      <w:r>
        <w:rPr>
          <w:rFonts w:ascii="Arial" w:hAnsi="Arial" w:cs="Arial"/>
          <w:color w:val="1F1F1F"/>
          <w:bdr w:val="none" w:sz="0" w:space="0" w:color="auto" w:frame="1"/>
        </w:rPr>
        <w:t xml:space="preserve"> Within the EU, the Netherlands is significantly impacted due to its trade dynamics and its position as a major European surplus country, facing intensified competitiveness pressure.</w:t>
      </w:r>
      <w:r>
        <w:rPr>
          <w:rFonts w:ascii="Arial" w:hAnsi="Arial" w:cs="Arial"/>
          <w:color w:val="444746"/>
          <w:bdr w:val="none" w:sz="0" w:space="0" w:color="auto" w:frame="1"/>
          <w:vertAlign w:val="superscript"/>
        </w:rPr>
        <w:t>15</w:t>
      </w:r>
    </w:p>
    <w:p w14:paraId="0D758B6A" w14:textId="77777777" w:rsidR="0085588B" w:rsidRDefault="0085588B" w:rsidP="0085588B">
      <w:pPr>
        <w:pStyle w:val="NormalWeb"/>
        <w:numPr>
          <w:ilvl w:val="0"/>
          <w:numId w:val="1"/>
        </w:numPr>
        <w:spacing w:before="0" w:beforeAutospacing="0" w:after="0" w:afterAutospacing="0"/>
        <w:rPr>
          <w:rFonts w:ascii="Arial" w:hAnsi="Arial" w:cs="Arial"/>
          <w:color w:val="1F1F1F"/>
        </w:rPr>
      </w:pPr>
      <w:r>
        <w:rPr>
          <w:rFonts w:ascii="Arial" w:hAnsi="Arial" w:cs="Arial"/>
          <w:b/>
          <w:bCs/>
          <w:color w:val="1F1F1F"/>
          <w:bdr w:val="none" w:sz="0" w:space="0" w:color="auto" w:frame="1"/>
        </w:rPr>
        <w:t>Emerging Markets with Nascent High-Tech Capacity:</w:t>
      </w:r>
      <w:r>
        <w:rPr>
          <w:rFonts w:ascii="Arial" w:hAnsi="Arial" w:cs="Arial"/>
          <w:color w:val="1F1F1F"/>
          <w:bdr w:val="none" w:sz="0" w:space="0" w:color="auto" w:frame="1"/>
        </w:rPr>
        <w:t xml:space="preserve"> Any developing country attempting to foster domestic capacity in sectors such as EVs, solar, or battery manufacturing without comparable state subsidies will face immediate and severe price competition, risking deindustrialization.</w:t>
      </w:r>
      <w:r>
        <w:rPr>
          <w:rFonts w:ascii="Arial" w:hAnsi="Arial" w:cs="Arial"/>
          <w:color w:val="444746"/>
          <w:bdr w:val="none" w:sz="0" w:space="0" w:color="auto" w:frame="1"/>
          <w:vertAlign w:val="superscript"/>
        </w:rPr>
        <w:t>4</w:t>
      </w:r>
    </w:p>
    <w:p w14:paraId="71721E7F" w14:textId="77777777" w:rsidR="0085588B" w:rsidRDefault="0085588B" w:rsidP="0085588B">
      <w:pPr>
        <w:pStyle w:val="Heading3"/>
        <w:spacing w:before="0" w:after="120"/>
        <w:rPr>
          <w:rFonts w:ascii="Arial" w:hAnsi="Arial" w:cs="Arial"/>
          <w:color w:val="1F1F1F"/>
        </w:rPr>
      </w:pPr>
      <w:r>
        <w:rPr>
          <w:rFonts w:ascii="Arial" w:hAnsi="Arial" w:cs="Arial"/>
          <w:color w:val="1F1F1F"/>
        </w:rPr>
        <w:t>5.3. Countries Least Exposed to China Shock 2.0 (Relatively Shielded/Strategic Benefit)</w:t>
      </w:r>
    </w:p>
    <w:p w14:paraId="4208E8CB" w14:textId="77777777" w:rsidR="0085588B" w:rsidRDefault="0085588B" w:rsidP="0085588B">
      <w:pPr>
        <w:pStyle w:val="NormalWeb"/>
        <w:spacing w:before="0" w:beforeAutospacing="0" w:after="120" w:afterAutospacing="0"/>
        <w:rPr>
          <w:rFonts w:ascii="Arial" w:hAnsi="Arial" w:cs="Arial"/>
          <w:color w:val="1F1F1F"/>
        </w:rPr>
      </w:pPr>
      <w:r>
        <w:rPr>
          <w:rFonts w:ascii="Arial" w:hAnsi="Arial" w:cs="Arial"/>
          <w:color w:val="1F1F1F"/>
        </w:rPr>
        <w:t>Countries that are relatively shielded either maintain minimal direct trade exposure to the new Chinese export wave or are strategically positioned to benefit from the restructuring it induces.</w:t>
      </w:r>
    </w:p>
    <w:p w14:paraId="6AD79AEC" w14:textId="77777777" w:rsidR="0085588B" w:rsidRDefault="0085588B" w:rsidP="0085588B">
      <w:pPr>
        <w:pStyle w:val="NormalWeb"/>
        <w:numPr>
          <w:ilvl w:val="0"/>
          <w:numId w:val="2"/>
        </w:numPr>
        <w:spacing w:before="0" w:beforeAutospacing="0" w:after="0" w:afterAutospacing="0"/>
        <w:rPr>
          <w:rFonts w:ascii="Arial" w:hAnsi="Arial" w:cs="Arial"/>
          <w:color w:val="1F1F1F"/>
        </w:rPr>
      </w:pPr>
      <w:r>
        <w:rPr>
          <w:rFonts w:ascii="Arial" w:hAnsi="Arial" w:cs="Arial"/>
          <w:b/>
          <w:bCs/>
          <w:color w:val="1F1F1F"/>
          <w:bdr w:val="none" w:sz="0" w:space="0" w:color="auto" w:frame="1"/>
        </w:rPr>
        <w:t>United States (Geographic Specificity):</w:t>
      </w:r>
      <w:r>
        <w:rPr>
          <w:rFonts w:ascii="Arial" w:hAnsi="Arial" w:cs="Arial"/>
          <w:color w:val="1F1F1F"/>
          <w:bdr w:val="none" w:sz="0" w:space="0" w:color="auto" w:frame="1"/>
        </w:rPr>
        <w:t xml:space="preserve"> Overall US exposure is strategically concentrated on technology control and geopolitical concerns. Geographically, the Northeast region is forecast to be the least impacted by increased tariffs on China, largely thanks to its lower direct exposure to Chinese trade compared to the West and Midwest.</w:t>
      </w:r>
      <w:r>
        <w:rPr>
          <w:rFonts w:ascii="Arial" w:hAnsi="Arial" w:cs="Arial"/>
          <w:color w:val="444746"/>
          <w:bdr w:val="none" w:sz="0" w:space="0" w:color="auto" w:frame="1"/>
          <w:vertAlign w:val="superscript"/>
        </w:rPr>
        <w:t>32</w:t>
      </w:r>
    </w:p>
    <w:p w14:paraId="6C5F2E24" w14:textId="77777777" w:rsidR="0085588B" w:rsidRDefault="0085588B" w:rsidP="0085588B">
      <w:pPr>
        <w:pStyle w:val="NormalWeb"/>
        <w:numPr>
          <w:ilvl w:val="0"/>
          <w:numId w:val="2"/>
        </w:numPr>
        <w:spacing w:before="0" w:beforeAutospacing="0" w:after="0" w:afterAutospacing="0"/>
        <w:rPr>
          <w:rFonts w:ascii="Arial" w:hAnsi="Arial" w:cs="Arial"/>
          <w:color w:val="1F1F1F"/>
        </w:rPr>
      </w:pPr>
      <w:r>
        <w:rPr>
          <w:rFonts w:ascii="Arial" w:hAnsi="Arial" w:cs="Arial"/>
          <w:b/>
          <w:bCs/>
          <w:color w:val="1F1F1F"/>
          <w:bdr w:val="none" w:sz="0" w:space="0" w:color="auto" w:frame="1"/>
        </w:rPr>
        <w:t>Ireland:</w:t>
      </w:r>
      <w:r>
        <w:rPr>
          <w:rFonts w:ascii="Arial" w:hAnsi="Arial" w:cs="Arial"/>
          <w:color w:val="1F1F1F"/>
          <w:bdr w:val="none" w:sz="0" w:space="0" w:color="auto" w:frame="1"/>
        </w:rPr>
        <w:t xml:space="preserve"> Specific trade relationships, particularly with the US, and favorable corporate structures provide relative insulation from the direct competitive pressures affecting other Eurozone economies.</w:t>
      </w:r>
      <w:r>
        <w:rPr>
          <w:rFonts w:ascii="Arial" w:hAnsi="Arial" w:cs="Arial"/>
          <w:color w:val="444746"/>
          <w:bdr w:val="none" w:sz="0" w:space="0" w:color="auto" w:frame="1"/>
          <w:vertAlign w:val="superscript"/>
        </w:rPr>
        <w:t>15</w:t>
      </w:r>
    </w:p>
    <w:p w14:paraId="1A7A1630" w14:textId="77777777" w:rsidR="0085588B" w:rsidRDefault="0085588B" w:rsidP="0085588B">
      <w:pPr>
        <w:pStyle w:val="NormalWeb"/>
        <w:numPr>
          <w:ilvl w:val="0"/>
          <w:numId w:val="2"/>
        </w:numPr>
        <w:spacing w:before="0" w:beforeAutospacing="0" w:after="0" w:afterAutospacing="0"/>
        <w:rPr>
          <w:rFonts w:ascii="Arial" w:hAnsi="Arial" w:cs="Arial"/>
          <w:color w:val="1F1F1F"/>
        </w:rPr>
      </w:pPr>
      <w:r>
        <w:rPr>
          <w:rFonts w:ascii="Arial" w:hAnsi="Arial" w:cs="Arial"/>
          <w:b/>
          <w:bCs/>
          <w:color w:val="1F1F1F"/>
          <w:bdr w:val="none" w:sz="0" w:space="0" w:color="auto" w:frame="1"/>
        </w:rPr>
        <w:t>Mexico:</w:t>
      </w:r>
      <w:r>
        <w:rPr>
          <w:rFonts w:ascii="Arial" w:hAnsi="Arial" w:cs="Arial"/>
          <w:color w:val="1F1F1F"/>
          <w:bdr w:val="none" w:sz="0" w:space="0" w:color="auto" w:frame="1"/>
        </w:rPr>
        <w:t xml:space="preserve"> High potential for benefiting from de-risking and nearshoring trends, positioning it as an "Alt-China" manufacturing hub for the North American market. This relocation is fueled by tariff circumvention dynamics and geopolitical necessity.</w:t>
      </w:r>
      <w:r>
        <w:rPr>
          <w:rFonts w:ascii="Arial" w:hAnsi="Arial" w:cs="Arial"/>
          <w:color w:val="444746"/>
          <w:bdr w:val="none" w:sz="0" w:space="0" w:color="auto" w:frame="1"/>
          <w:vertAlign w:val="superscript"/>
        </w:rPr>
        <w:t>29</w:t>
      </w:r>
    </w:p>
    <w:p w14:paraId="58B1F3B2" w14:textId="77777777" w:rsidR="0085588B" w:rsidRDefault="0085588B" w:rsidP="0085588B">
      <w:pPr>
        <w:pStyle w:val="NormalWeb"/>
        <w:numPr>
          <w:ilvl w:val="0"/>
          <w:numId w:val="2"/>
        </w:numPr>
        <w:spacing w:before="0" w:beforeAutospacing="0" w:after="0" w:afterAutospacing="0"/>
        <w:rPr>
          <w:rFonts w:ascii="Arial" w:hAnsi="Arial" w:cs="Arial"/>
          <w:color w:val="1F1F1F"/>
        </w:rPr>
      </w:pPr>
      <w:r>
        <w:rPr>
          <w:rFonts w:ascii="Arial" w:hAnsi="Arial" w:cs="Arial"/>
          <w:b/>
          <w:bCs/>
          <w:color w:val="1F1F1F"/>
          <w:bdr w:val="none" w:sz="0" w:space="0" w:color="auto" w:frame="1"/>
        </w:rPr>
        <w:t>Vietnam:</w:t>
      </w:r>
      <w:r>
        <w:rPr>
          <w:rFonts w:ascii="Arial" w:hAnsi="Arial" w:cs="Arial"/>
          <w:color w:val="1F1F1F"/>
          <w:bdr w:val="none" w:sz="0" w:space="0" w:color="auto" w:frame="1"/>
        </w:rPr>
        <w:t xml:space="preserve"> A prime destination for supply chain rerouting due to cultural proximity and economic viability as a relocation site for both lower-value textile assembly and some electronic products, driven by de-risking efforts by US and EU firms.</w:t>
      </w:r>
      <w:r>
        <w:rPr>
          <w:rFonts w:ascii="Arial" w:hAnsi="Arial" w:cs="Arial"/>
          <w:color w:val="444746"/>
          <w:bdr w:val="none" w:sz="0" w:space="0" w:color="auto" w:frame="1"/>
          <w:vertAlign w:val="superscript"/>
        </w:rPr>
        <w:t>29</w:t>
      </w:r>
    </w:p>
    <w:p w14:paraId="3DDEDFB6" w14:textId="77777777" w:rsidR="0085588B" w:rsidRDefault="0085588B" w:rsidP="0085588B">
      <w:pPr>
        <w:pStyle w:val="NormalWeb"/>
        <w:spacing w:before="0" w:beforeAutospacing="0" w:after="240" w:afterAutospacing="0"/>
        <w:rPr>
          <w:rFonts w:ascii="Arial" w:hAnsi="Arial" w:cs="Arial"/>
          <w:color w:val="1F1F1F"/>
        </w:rPr>
      </w:pPr>
      <w:r>
        <w:rPr>
          <w:rFonts w:ascii="Arial" w:hAnsi="Arial" w:cs="Arial"/>
          <w:color w:val="1F1F1F"/>
        </w:rPr>
        <w:t>Table 3: Estimated Exposure Profile for China Shock 2.0 (High-End Overcapacity)</w:t>
      </w:r>
    </w:p>
    <w:tbl>
      <w:tblPr>
        <w:tblW w:w="0" w:type="auto"/>
        <w:tblCellSpacing w:w="15" w:type="dxa"/>
        <w:tblCellMar>
          <w:left w:w="0" w:type="dxa"/>
          <w:right w:w="0" w:type="dxa"/>
        </w:tblCellMar>
        <w:tblLook w:val="04A0" w:firstRow="1" w:lastRow="0" w:firstColumn="1" w:lastColumn="0" w:noHBand="0" w:noVBand="1"/>
      </w:tblPr>
      <w:tblGrid>
        <w:gridCol w:w="1839"/>
        <w:gridCol w:w="3931"/>
        <w:gridCol w:w="3240"/>
      </w:tblGrid>
      <w:tr w:rsidR="0085588B" w14:paraId="1B356AC2" w14:textId="77777777" w:rsidTr="0085588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9201C" w14:textId="77777777" w:rsidR="0085588B" w:rsidRDefault="0085588B">
            <w:pPr>
              <w:rPr>
                <w:rFonts w:ascii="Arial" w:hAnsi="Arial" w:cs="Arial"/>
                <w:color w:val="1F1F1F"/>
              </w:rPr>
            </w:pPr>
            <w:r>
              <w:rPr>
                <w:rStyle w:val="Strong"/>
                <w:rFonts w:ascii="Arial" w:hAnsi="Arial" w:cs="Arial"/>
                <w:color w:val="1F1F1F"/>
                <w:bdr w:val="none" w:sz="0" w:space="0" w:color="auto" w:frame="1"/>
              </w:rPr>
              <w:t>Vulnerability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1A796" w14:textId="77777777" w:rsidR="0085588B" w:rsidRDefault="0085588B">
            <w:pPr>
              <w:rPr>
                <w:rFonts w:ascii="Arial" w:hAnsi="Arial" w:cs="Arial"/>
                <w:color w:val="1F1F1F"/>
              </w:rPr>
            </w:pPr>
            <w:r>
              <w:rPr>
                <w:rStyle w:val="Strong"/>
                <w:rFonts w:ascii="Arial" w:hAnsi="Arial" w:cs="Arial"/>
                <w:color w:val="1F1F1F"/>
                <w:bdr w:val="none" w:sz="0" w:space="0" w:color="auto" w:frame="1"/>
              </w:rPr>
              <w:t>Most Exposed (Competition/Substitution 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72865" w14:textId="77777777" w:rsidR="0085588B" w:rsidRDefault="0085588B">
            <w:pPr>
              <w:rPr>
                <w:rFonts w:ascii="Arial" w:hAnsi="Arial" w:cs="Arial"/>
                <w:color w:val="1F1F1F"/>
              </w:rPr>
            </w:pPr>
            <w:r>
              <w:rPr>
                <w:rStyle w:val="Strong"/>
                <w:rFonts w:ascii="Arial" w:hAnsi="Arial" w:cs="Arial"/>
                <w:color w:val="1F1F1F"/>
                <w:bdr w:val="none" w:sz="0" w:space="0" w:color="auto" w:frame="1"/>
              </w:rPr>
              <w:t>Least Exposed (Relatively Shielded/Strategic Benefit)</w:t>
            </w:r>
          </w:p>
        </w:tc>
      </w:tr>
      <w:tr w:rsidR="0085588B" w14:paraId="0C39B2AB" w14:textId="77777777" w:rsidTr="008558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D5390" w14:textId="77777777" w:rsidR="0085588B" w:rsidRDefault="0085588B">
            <w:pPr>
              <w:rPr>
                <w:rFonts w:ascii="Arial" w:hAnsi="Arial" w:cs="Arial"/>
                <w:color w:val="1F1F1F"/>
              </w:rPr>
            </w:pPr>
            <w:r>
              <w:rPr>
                <w:rFonts w:ascii="Arial" w:hAnsi="Arial" w:cs="Arial"/>
                <w:b/>
                <w:bCs/>
                <w:color w:val="1F1F1F"/>
                <w:bdr w:val="none" w:sz="0" w:space="0" w:color="auto" w:frame="1"/>
              </w:rPr>
              <w:t>Advanced Economies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BB945" w14:textId="77777777" w:rsidR="0085588B" w:rsidRDefault="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Germany, South Korea, Japan (Direct export competition in core industries) </w:t>
            </w:r>
            <w:r>
              <w:rPr>
                <w:rFonts w:ascii="Arial" w:hAnsi="Arial" w:cs="Arial"/>
                <w:color w:val="444746"/>
                <w:bdr w:val="none" w:sz="0" w:space="0" w:color="auto" w:frame="1"/>
                <w:vertAlign w:val="superscript"/>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F4C94" w14:textId="77777777" w:rsidR="0085588B" w:rsidRDefault="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US Northeast (Low direct trade exposure) </w:t>
            </w:r>
            <w:r>
              <w:rPr>
                <w:rFonts w:ascii="Arial" w:hAnsi="Arial" w:cs="Arial"/>
                <w:color w:val="444746"/>
                <w:bdr w:val="none" w:sz="0" w:space="0" w:color="auto" w:frame="1"/>
                <w:vertAlign w:val="superscript"/>
              </w:rPr>
              <w:t>32</w:t>
            </w:r>
            <w:r>
              <w:rPr>
                <w:rFonts w:ascii="Arial" w:hAnsi="Arial" w:cs="Arial"/>
                <w:color w:val="1F1F1F"/>
                <w:bdr w:val="none" w:sz="0" w:space="0" w:color="auto" w:frame="1"/>
              </w:rPr>
              <w:t xml:space="preserve">, Ireland (Specific regulatory/corporate ties) </w:t>
            </w:r>
            <w:r>
              <w:rPr>
                <w:rFonts w:ascii="Arial" w:hAnsi="Arial" w:cs="Arial"/>
                <w:color w:val="444746"/>
                <w:bdr w:val="none" w:sz="0" w:space="0" w:color="auto" w:frame="1"/>
                <w:vertAlign w:val="superscript"/>
              </w:rPr>
              <w:t>15</w:t>
            </w:r>
          </w:p>
        </w:tc>
      </w:tr>
      <w:tr w:rsidR="0085588B" w14:paraId="495F5669" w14:textId="77777777" w:rsidTr="008558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808FD" w14:textId="77777777" w:rsidR="0085588B" w:rsidRDefault="0085588B">
            <w:pPr>
              <w:rPr>
                <w:rFonts w:ascii="Arial" w:hAnsi="Arial" w:cs="Arial"/>
                <w:color w:val="1F1F1F"/>
              </w:rPr>
            </w:pPr>
            <w:r>
              <w:rPr>
                <w:rFonts w:ascii="Arial" w:hAnsi="Arial" w:cs="Arial"/>
                <w:b/>
                <w:bCs/>
                <w:color w:val="1F1F1F"/>
                <w:bdr w:val="none" w:sz="0" w:space="0" w:color="auto" w:frame="1"/>
              </w:rPr>
              <w:lastRenderedPageBreak/>
              <w:t>Emerging Markets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D9499" w14:textId="77777777" w:rsidR="0085588B" w:rsidRDefault="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Economies with nascent EV/Solar/Machinery sectors; Latin America (potential commodity trade vulnerability) </w:t>
            </w:r>
            <w:r>
              <w:rPr>
                <w:rFonts w:ascii="Arial" w:hAnsi="Arial" w:cs="Arial"/>
                <w:color w:val="444746"/>
                <w:bdr w:val="none" w:sz="0" w:space="0" w:color="auto" w:frame="1"/>
                <w:vertAlign w:val="superscript"/>
              </w:rPr>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A7E62" w14:textId="77777777" w:rsidR="0085588B" w:rsidRDefault="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Countries positioned as Alt-China manufacturing hubs (e.g., Mexico, Vietnam, CEE) </w:t>
            </w:r>
            <w:r>
              <w:rPr>
                <w:rFonts w:ascii="Arial" w:hAnsi="Arial" w:cs="Arial"/>
                <w:color w:val="444746"/>
                <w:bdr w:val="none" w:sz="0" w:space="0" w:color="auto" w:frame="1"/>
                <w:vertAlign w:val="superscript"/>
              </w:rPr>
              <w:t>29</w:t>
            </w:r>
          </w:p>
        </w:tc>
      </w:tr>
    </w:tbl>
    <w:p w14:paraId="6982C7B1" w14:textId="77777777" w:rsidR="0085588B" w:rsidRDefault="0085588B" w:rsidP="0085588B">
      <w:pPr>
        <w:pStyle w:val="Heading2"/>
        <w:spacing w:before="0" w:after="120"/>
        <w:rPr>
          <w:rFonts w:ascii="Arial" w:hAnsi="Arial" w:cs="Arial"/>
          <w:color w:val="1F1F1F"/>
        </w:rPr>
      </w:pPr>
      <w:r>
        <w:rPr>
          <w:rFonts w:ascii="Arial" w:hAnsi="Arial" w:cs="Arial"/>
          <w:color w:val="1F1F1F"/>
        </w:rPr>
        <w:t>VI. Policy Implications and Strategic Recommendations</w:t>
      </w:r>
    </w:p>
    <w:p w14:paraId="5933D16D" w14:textId="77777777" w:rsidR="0085588B" w:rsidRDefault="0085588B" w:rsidP="0085588B">
      <w:pPr>
        <w:pStyle w:val="Heading3"/>
        <w:spacing w:before="0" w:after="120"/>
        <w:rPr>
          <w:rFonts w:ascii="Arial" w:hAnsi="Arial" w:cs="Arial"/>
          <w:color w:val="1F1F1F"/>
        </w:rPr>
      </w:pPr>
      <w:r>
        <w:rPr>
          <w:rFonts w:ascii="Arial" w:hAnsi="Arial" w:cs="Arial"/>
          <w:color w:val="1F1F1F"/>
        </w:rPr>
        <w:t>6.1. The Evolving Policy Response in Advanced Economies</w:t>
      </w:r>
    </w:p>
    <w:p w14:paraId="33F633AA"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The emergence of China Shock 2.0 mandates a systemic policy response that moves beyond the outdated framework of pure free trade. The sheer scale and distortive nature of Chinese state subsidies, which are substantially greater than those of OECD nations </w:t>
      </w:r>
      <w:r>
        <w:rPr>
          <w:rFonts w:ascii="Arial" w:hAnsi="Arial" w:cs="Arial"/>
          <w:color w:val="444746"/>
          <w:bdr w:val="none" w:sz="0" w:space="0" w:color="auto" w:frame="1"/>
          <w:vertAlign w:val="superscript"/>
        </w:rPr>
        <w:t>4</w:t>
      </w:r>
      <w:r>
        <w:rPr>
          <w:rFonts w:ascii="Arial" w:hAnsi="Arial" w:cs="Arial"/>
          <w:color w:val="1F1F1F"/>
          <w:bdr w:val="none" w:sz="0" w:space="0" w:color="auto" w:frame="1"/>
        </w:rPr>
        <w:t>, require a focus on industrial resilience and security.</w:t>
      </w:r>
    </w:p>
    <w:p w14:paraId="0728DE46"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Both the United States and the European Union have formally embraced a "de-risking" strategy, viewing supply-chain resilience as an urgent priority.</w:t>
      </w:r>
      <w:r>
        <w:rPr>
          <w:rFonts w:ascii="Arial" w:hAnsi="Arial" w:cs="Arial"/>
          <w:color w:val="444746"/>
          <w:bdr w:val="none" w:sz="0" w:space="0" w:color="auto" w:frame="1"/>
          <w:vertAlign w:val="superscript"/>
        </w:rPr>
        <w:t>33</w:t>
      </w:r>
      <w:r>
        <w:rPr>
          <w:rFonts w:ascii="Arial" w:hAnsi="Arial" w:cs="Arial"/>
          <w:color w:val="1F1F1F"/>
          <w:bdr w:val="none" w:sz="0" w:space="0" w:color="auto" w:frame="1"/>
        </w:rPr>
        <w:t xml:space="preserve"> This is evidenced by major legislative initiatives, including the U.S. Inflation Reduction Act and Chips and Science Act, and the EU's subsequent Net-Zero Industry Act and European Chips Act.</w:t>
      </w:r>
      <w:r>
        <w:rPr>
          <w:rFonts w:ascii="Arial" w:hAnsi="Arial" w:cs="Arial"/>
          <w:color w:val="444746"/>
          <w:bdr w:val="none" w:sz="0" w:space="0" w:color="auto" w:frame="1"/>
          <w:vertAlign w:val="superscript"/>
        </w:rPr>
        <w:t>34</w:t>
      </w:r>
      <w:r>
        <w:rPr>
          <w:rFonts w:ascii="Arial" w:hAnsi="Arial" w:cs="Arial"/>
          <w:color w:val="1F1F1F"/>
          <w:bdr w:val="none" w:sz="0" w:space="0" w:color="auto" w:frame="1"/>
        </w:rPr>
        <w:t xml:space="preserve"> These acts represent a willingness to engage in large-scale domestic subsidies to counter foreign state support and secure strategic supply chains in areas like green technology and semiconductors.</w:t>
      </w:r>
      <w:r>
        <w:rPr>
          <w:rFonts w:ascii="Arial" w:hAnsi="Arial" w:cs="Arial"/>
          <w:color w:val="444746"/>
          <w:bdr w:val="none" w:sz="0" w:space="0" w:color="auto" w:frame="1"/>
          <w:vertAlign w:val="superscript"/>
        </w:rPr>
        <w:t>34</w:t>
      </w:r>
    </w:p>
    <w:p w14:paraId="45E3CAEB"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The EU’s utilization of the Foreign Subsidies Regulation (FSR) against Chinese firms demonstrates a shift toward regulatory mechanisms designed to mitigate the influence of foreign state backing on investment within the single market.</w:t>
      </w:r>
      <w:r>
        <w:rPr>
          <w:rFonts w:ascii="Arial" w:hAnsi="Arial" w:cs="Arial"/>
          <w:color w:val="444746"/>
          <w:bdr w:val="none" w:sz="0" w:space="0" w:color="auto" w:frame="1"/>
          <w:vertAlign w:val="superscript"/>
        </w:rPr>
        <w:t>18</w:t>
      </w:r>
      <w:r>
        <w:rPr>
          <w:rFonts w:ascii="Arial" w:hAnsi="Arial" w:cs="Arial"/>
          <w:color w:val="1F1F1F"/>
          <w:bdr w:val="none" w:sz="0" w:space="0" w:color="auto" w:frame="1"/>
        </w:rPr>
        <w:t xml:space="preserve"> Furthermore, China's dominance in upstream chokepoints, such as rare earth exports or solar equipment, introduces the risk of economic coercion.</w:t>
      </w:r>
      <w:r>
        <w:rPr>
          <w:rFonts w:ascii="Arial" w:hAnsi="Arial" w:cs="Arial"/>
          <w:color w:val="444746"/>
          <w:bdr w:val="none" w:sz="0" w:space="0" w:color="auto" w:frame="1"/>
          <w:vertAlign w:val="superscript"/>
        </w:rPr>
        <w:t>25</w:t>
      </w:r>
      <w:r>
        <w:rPr>
          <w:rFonts w:ascii="Arial" w:hAnsi="Arial" w:cs="Arial"/>
          <w:color w:val="1F1F1F"/>
          <w:bdr w:val="none" w:sz="0" w:space="0" w:color="auto" w:frame="1"/>
        </w:rPr>
        <w:t xml:space="preserve"> This dictates that de-risking must extend beyond final assembly (the focus of Shock 1.0-era supply chain strategies) into the more complex and costly realm of material-level dependencies.</w:t>
      </w:r>
    </w:p>
    <w:p w14:paraId="4EEC68A5" w14:textId="77777777" w:rsidR="0085588B" w:rsidRDefault="0085588B" w:rsidP="0085588B">
      <w:pPr>
        <w:pStyle w:val="Heading3"/>
        <w:spacing w:before="0" w:after="120"/>
        <w:rPr>
          <w:rFonts w:ascii="Arial" w:hAnsi="Arial" w:cs="Arial"/>
          <w:color w:val="1F1F1F"/>
        </w:rPr>
      </w:pPr>
      <w:r>
        <w:rPr>
          <w:rFonts w:ascii="Arial" w:hAnsi="Arial" w:cs="Arial"/>
          <w:color w:val="1F1F1F"/>
        </w:rPr>
        <w:t>6.2. The WTO Dilemma and the Subsidies Race</w:t>
      </w:r>
    </w:p>
    <w:p w14:paraId="5E776286"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The structural nature of Shock 2.0 underscores the decay of the World Trade Organization's capacity to police large-scale state subsidies and non-market practices.</w:t>
      </w:r>
      <w:r>
        <w:rPr>
          <w:rFonts w:ascii="Arial" w:hAnsi="Arial" w:cs="Arial"/>
          <w:color w:val="444746"/>
          <w:bdr w:val="none" w:sz="0" w:space="0" w:color="auto" w:frame="1"/>
          <w:vertAlign w:val="superscript"/>
        </w:rPr>
        <w:t>9</w:t>
      </w:r>
      <w:r>
        <w:rPr>
          <w:rFonts w:ascii="Arial" w:hAnsi="Arial" w:cs="Arial"/>
          <w:color w:val="1F1F1F"/>
          <w:bdr w:val="none" w:sz="0" w:space="0" w:color="auto" w:frame="1"/>
        </w:rPr>
        <w:t xml:space="preserve"> The global proliferation of industrial policies, especially in low-carbon and high-end sectors, risks triggering a costly "subsidies race".</w:t>
      </w:r>
      <w:r>
        <w:rPr>
          <w:rFonts w:ascii="Arial" w:hAnsi="Arial" w:cs="Arial"/>
          <w:color w:val="444746"/>
          <w:bdr w:val="none" w:sz="0" w:space="0" w:color="auto" w:frame="1"/>
          <w:vertAlign w:val="superscript"/>
        </w:rPr>
        <w:t>28</w:t>
      </w:r>
    </w:p>
    <w:p w14:paraId="250B8DB1" w14:textId="77777777" w:rsidR="0085588B" w:rsidRDefault="0085588B" w:rsidP="0085588B">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This race presents a zero-sum or even negative-sum competition where advanced economies divert massive fiscal resources towards securing domestic production. The consequences are particularly detrimental for emerging economies that lack the fiscal capacity to participate.</w:t>
      </w:r>
      <w:r>
        <w:rPr>
          <w:rFonts w:ascii="Arial" w:hAnsi="Arial" w:cs="Arial"/>
          <w:color w:val="444746"/>
          <w:bdr w:val="none" w:sz="0" w:space="0" w:color="auto" w:frame="1"/>
          <w:vertAlign w:val="superscript"/>
        </w:rPr>
        <w:t>28</w:t>
      </w:r>
      <w:r>
        <w:rPr>
          <w:rFonts w:ascii="Arial" w:hAnsi="Arial" w:cs="Arial"/>
          <w:color w:val="1F1F1F"/>
          <w:bdr w:val="none" w:sz="0" w:space="0" w:color="auto" w:frame="1"/>
        </w:rPr>
        <w:t xml:space="preserve"> While some economists view the importation of cheap Chinese solar panels as an acceptable "free ride" that accelerates global decarbonization </w:t>
      </w:r>
      <w:r>
        <w:rPr>
          <w:rFonts w:ascii="Arial" w:hAnsi="Arial" w:cs="Arial"/>
          <w:color w:val="444746"/>
          <w:bdr w:val="none" w:sz="0" w:space="0" w:color="auto" w:frame="1"/>
          <w:vertAlign w:val="superscript"/>
        </w:rPr>
        <w:t>5</w:t>
      </w:r>
      <w:r>
        <w:rPr>
          <w:rFonts w:ascii="Arial" w:hAnsi="Arial" w:cs="Arial"/>
          <w:color w:val="1F1F1F"/>
          <w:bdr w:val="none" w:sz="0" w:space="0" w:color="auto" w:frame="1"/>
        </w:rPr>
        <w:t>, the broader move into highly subsidized, capital-intensive industries risks undermining the multilateral order and closing off development pathways for aspiring manufacturing nations.</w:t>
      </w:r>
    </w:p>
    <w:p w14:paraId="47477F11" w14:textId="77777777" w:rsidR="0085588B" w:rsidRDefault="0085588B" w:rsidP="0085588B">
      <w:pPr>
        <w:pStyle w:val="Heading3"/>
        <w:spacing w:before="0" w:after="120"/>
        <w:rPr>
          <w:rFonts w:ascii="Arial" w:hAnsi="Arial" w:cs="Arial"/>
          <w:color w:val="1F1F1F"/>
        </w:rPr>
      </w:pPr>
      <w:r>
        <w:rPr>
          <w:rFonts w:ascii="Arial" w:hAnsi="Arial" w:cs="Arial"/>
          <w:color w:val="1F1F1F"/>
        </w:rPr>
        <w:t>6.3. Recommendations for Global Economic Strategy</w:t>
      </w:r>
    </w:p>
    <w:p w14:paraId="1CE278C2" w14:textId="77777777" w:rsidR="0085588B" w:rsidRDefault="0085588B" w:rsidP="0085588B">
      <w:pPr>
        <w:pStyle w:val="NormalWeb"/>
        <w:numPr>
          <w:ilvl w:val="0"/>
          <w:numId w:val="3"/>
        </w:numPr>
        <w:spacing w:before="0" w:beforeAutospacing="0" w:after="0" w:afterAutospacing="0"/>
        <w:rPr>
          <w:rFonts w:ascii="Arial" w:hAnsi="Arial" w:cs="Arial"/>
          <w:color w:val="1F1F1F"/>
        </w:rPr>
      </w:pPr>
      <w:r>
        <w:rPr>
          <w:rFonts w:ascii="Arial" w:hAnsi="Arial" w:cs="Arial"/>
          <w:b/>
          <w:bCs/>
          <w:color w:val="1F1F1F"/>
          <w:bdr w:val="none" w:sz="0" w:space="0" w:color="auto" w:frame="1"/>
        </w:rPr>
        <w:t>Enhance Policy Coordination and Stability:</w:t>
      </w:r>
      <w:r>
        <w:rPr>
          <w:rFonts w:ascii="Arial" w:hAnsi="Arial" w:cs="Arial"/>
          <w:color w:val="1F1F1F"/>
          <w:bdr w:val="none" w:sz="0" w:space="0" w:color="auto" w:frame="1"/>
        </w:rPr>
        <w:t xml:space="preserve"> Reducing trade policy uncertainty is crucial for economic stability. Clearer and more stable bilateral and multilateral trade agreements can raise global output by an estimated </w:t>
      </w:r>
      <w:r>
        <w:rPr>
          <w:rFonts w:ascii="Arial" w:hAnsi="Arial" w:cs="Arial"/>
          <w:color w:val="1F1F1F"/>
          <w:bdr w:val="none" w:sz="0" w:space="0" w:color="auto" w:frame="1"/>
        </w:rPr>
        <w:lastRenderedPageBreak/>
        <w:t>0.4% in the near term.</w:t>
      </w:r>
      <w:r>
        <w:rPr>
          <w:rFonts w:ascii="Arial" w:hAnsi="Arial" w:cs="Arial"/>
          <w:color w:val="444746"/>
          <w:bdr w:val="none" w:sz="0" w:space="0" w:color="auto" w:frame="1"/>
          <w:vertAlign w:val="superscript"/>
        </w:rPr>
        <w:t>35</w:t>
      </w:r>
      <w:r>
        <w:rPr>
          <w:rFonts w:ascii="Arial" w:hAnsi="Arial" w:cs="Arial"/>
          <w:color w:val="1F1F1F"/>
          <w:bdr w:val="none" w:sz="0" w:space="0" w:color="auto" w:frame="1"/>
        </w:rPr>
        <w:t xml:space="preserve"> Coordination among advanced economies (US, EU, Japan, South Korea) is necessary to ensure counter-subsidization strategies are effective and do not simply displace Chinese dominance with new forms of protectionism.</w:t>
      </w:r>
    </w:p>
    <w:p w14:paraId="373F6C31" w14:textId="77777777" w:rsidR="0085588B" w:rsidRDefault="0085588B" w:rsidP="0085588B">
      <w:pPr>
        <w:pStyle w:val="NormalWeb"/>
        <w:numPr>
          <w:ilvl w:val="0"/>
          <w:numId w:val="3"/>
        </w:numPr>
        <w:spacing w:before="0" w:beforeAutospacing="0" w:after="0" w:afterAutospacing="0"/>
        <w:rPr>
          <w:rFonts w:ascii="Arial" w:hAnsi="Arial" w:cs="Arial"/>
          <w:color w:val="1F1F1F"/>
        </w:rPr>
      </w:pPr>
      <w:r>
        <w:rPr>
          <w:rFonts w:ascii="Arial" w:hAnsi="Arial" w:cs="Arial"/>
          <w:b/>
          <w:bCs/>
          <w:color w:val="1F1F1F"/>
          <w:bdr w:val="none" w:sz="0" w:space="0" w:color="auto" w:frame="1"/>
        </w:rPr>
        <w:t>Targeted Investment in Alternative Manufacturing Hubs:</w:t>
      </w:r>
      <w:r>
        <w:rPr>
          <w:rFonts w:ascii="Arial" w:hAnsi="Arial" w:cs="Arial"/>
          <w:color w:val="1F1F1F"/>
          <w:bdr w:val="none" w:sz="0" w:space="0" w:color="auto" w:frame="1"/>
        </w:rPr>
        <w:t xml:space="preserve"> To facilitate effective GVC diversification, advanced economies should leverage policy tools and infrastructure financing (such as the EU's over </w:t>
      </w:r>
      <w:r>
        <w:rPr>
          <w:rStyle w:val="math-inline"/>
          <w:rFonts w:ascii="Arial" w:eastAsiaTheme="majorEastAsia" w:hAnsi="Arial" w:cs="Arial"/>
          <w:color w:val="1F1F1F"/>
          <w:bdr w:val="none" w:sz="0" w:space="0" w:color="auto" w:frame="1"/>
        </w:rPr>
        <w:t>$\$300$</w:t>
      </w:r>
      <w:r>
        <w:rPr>
          <w:rFonts w:ascii="Arial" w:hAnsi="Arial" w:cs="Arial"/>
          <w:color w:val="1F1F1F"/>
          <w:bdr w:val="none" w:sz="0" w:space="0" w:color="auto" w:frame="1"/>
        </w:rPr>
        <w:t xml:space="preserve"> billion </w:t>
      </w:r>
      <w:proofErr w:type="gramStart"/>
      <w:r>
        <w:rPr>
          <w:rFonts w:ascii="Arial" w:hAnsi="Arial" w:cs="Arial"/>
          <w:color w:val="1F1F1F"/>
          <w:bdr w:val="none" w:sz="0" w:space="0" w:color="auto" w:frame="1"/>
        </w:rPr>
        <w:t>pledge</w:t>
      </w:r>
      <w:proofErr w:type="gramEnd"/>
      <w:r>
        <w:rPr>
          <w:rFonts w:ascii="Arial" w:hAnsi="Arial" w:cs="Arial"/>
          <w:color w:val="1F1F1F"/>
          <w:bdr w:val="none" w:sz="0" w:space="0" w:color="auto" w:frame="1"/>
        </w:rPr>
        <w:t xml:space="preserve"> for infrastructure projects) </w:t>
      </w:r>
      <w:r>
        <w:rPr>
          <w:rFonts w:ascii="Arial" w:hAnsi="Arial" w:cs="Arial"/>
          <w:color w:val="444746"/>
          <w:bdr w:val="none" w:sz="0" w:space="0" w:color="auto" w:frame="1"/>
          <w:vertAlign w:val="superscript"/>
        </w:rPr>
        <w:t>34</w:t>
      </w:r>
      <w:r>
        <w:rPr>
          <w:rFonts w:ascii="Arial" w:hAnsi="Arial" w:cs="Arial"/>
          <w:color w:val="1F1F1F"/>
          <w:bdr w:val="none" w:sz="0" w:space="0" w:color="auto" w:frame="1"/>
        </w:rPr>
        <w:t xml:space="preserve"> to mobilize private capital toward designated "Alt-China" destinations. This includes economies like Mexico, Vietnam, and countries in Central and Eastern Europe, helping them absorb the organic relocation of manufacturing supply chains.</w:t>
      </w:r>
      <w:r>
        <w:rPr>
          <w:rFonts w:ascii="Arial" w:hAnsi="Arial" w:cs="Arial"/>
          <w:color w:val="444746"/>
          <w:bdr w:val="none" w:sz="0" w:space="0" w:color="auto" w:frame="1"/>
          <w:vertAlign w:val="superscript"/>
        </w:rPr>
        <w:t>29</w:t>
      </w:r>
    </w:p>
    <w:p w14:paraId="172652BE" w14:textId="77777777" w:rsidR="0085588B" w:rsidRDefault="0085588B" w:rsidP="0085588B">
      <w:pPr>
        <w:pStyle w:val="NormalWeb"/>
        <w:numPr>
          <w:ilvl w:val="0"/>
          <w:numId w:val="3"/>
        </w:numPr>
        <w:spacing w:before="0" w:beforeAutospacing="0" w:after="0" w:afterAutospacing="0"/>
        <w:rPr>
          <w:rFonts w:ascii="Arial" w:hAnsi="Arial" w:cs="Arial"/>
          <w:color w:val="1F1F1F"/>
        </w:rPr>
      </w:pPr>
      <w:r>
        <w:rPr>
          <w:rFonts w:ascii="Arial" w:hAnsi="Arial" w:cs="Arial"/>
          <w:b/>
          <w:bCs/>
          <w:color w:val="1F1F1F"/>
          <w:bdr w:val="none" w:sz="0" w:space="0" w:color="auto" w:frame="1"/>
        </w:rPr>
        <w:t>Reframing the Green Transition Trade-off:</w:t>
      </w:r>
      <w:r>
        <w:rPr>
          <w:rFonts w:ascii="Arial" w:hAnsi="Arial" w:cs="Arial"/>
          <w:color w:val="1F1F1F"/>
          <w:bdr w:val="none" w:sz="0" w:space="0" w:color="auto" w:frame="1"/>
        </w:rPr>
        <w:t xml:space="preserve"> Policymakers must explicitly manage the conflict between climate objectives and industrial sovereignty. While maximizing the use of cheap Chinese green technology accelerates decarbonization globally </w:t>
      </w:r>
      <w:r>
        <w:rPr>
          <w:rFonts w:ascii="Arial" w:hAnsi="Arial" w:cs="Arial"/>
          <w:color w:val="444746"/>
          <w:bdr w:val="none" w:sz="0" w:space="0" w:color="auto" w:frame="1"/>
          <w:vertAlign w:val="superscript"/>
        </w:rPr>
        <w:t>5</w:t>
      </w:r>
      <w:r>
        <w:rPr>
          <w:rFonts w:ascii="Arial" w:hAnsi="Arial" w:cs="Arial"/>
          <w:color w:val="1F1F1F"/>
          <w:bdr w:val="none" w:sz="0" w:space="0" w:color="auto" w:frame="1"/>
        </w:rPr>
        <w:t xml:space="preserve">, regulatory strategies should focus on ensuring minimum standards (e.g., carbon emission assessment criteria for batteries </w:t>
      </w:r>
      <w:r>
        <w:rPr>
          <w:rFonts w:ascii="Arial" w:hAnsi="Arial" w:cs="Arial"/>
          <w:color w:val="444746"/>
          <w:bdr w:val="none" w:sz="0" w:space="0" w:color="auto" w:frame="1"/>
          <w:vertAlign w:val="superscript"/>
        </w:rPr>
        <w:t>19</w:t>
      </w:r>
      <w:r>
        <w:rPr>
          <w:rFonts w:ascii="Arial" w:hAnsi="Arial" w:cs="Arial"/>
          <w:color w:val="1F1F1F"/>
          <w:bdr w:val="none" w:sz="0" w:space="0" w:color="auto" w:frame="1"/>
        </w:rPr>
        <w:t>) and securing upstream value chains, rather than relying solely on high tariffs, to manage the industrial displacement without abandoning climate goals.</w:t>
      </w:r>
    </w:p>
    <w:p w14:paraId="34410CAE" w14:textId="77777777" w:rsidR="0085588B" w:rsidRDefault="0085588B" w:rsidP="0085588B">
      <w:pPr>
        <w:pStyle w:val="Heading2"/>
        <w:spacing w:before="0" w:after="120"/>
        <w:rPr>
          <w:rFonts w:ascii="Arial" w:hAnsi="Arial" w:cs="Arial"/>
          <w:color w:val="1F1F1F"/>
        </w:rPr>
      </w:pPr>
      <w:r>
        <w:rPr>
          <w:rFonts w:ascii="Arial" w:hAnsi="Arial" w:cs="Arial"/>
          <w:color w:val="1F1F1F"/>
        </w:rPr>
        <w:t>VII. Conclusion: Managing the Structural Transformation</w:t>
      </w:r>
    </w:p>
    <w:p w14:paraId="3E9037E4" w14:textId="77777777" w:rsidR="0085588B" w:rsidRDefault="0085588B" w:rsidP="0085588B">
      <w:pPr>
        <w:pStyle w:val="NormalWeb"/>
        <w:spacing w:before="0" w:beforeAutospacing="0" w:after="240" w:afterAutospacing="0"/>
        <w:rPr>
          <w:rFonts w:ascii="Arial" w:hAnsi="Arial" w:cs="Arial"/>
          <w:color w:val="1F1F1F"/>
        </w:rPr>
      </w:pPr>
      <w:r>
        <w:rPr>
          <w:rFonts w:ascii="Arial" w:hAnsi="Arial" w:cs="Arial"/>
          <w:color w:val="1F1F1F"/>
        </w:rPr>
        <w:t>China Shock 2.0 is confirmed to be a structural, rather than cyclical, transformation of global trade. It marks China’s successful shift from being the world’s assembly floor to becoming a technological peer and direct competitor in capital-intensive and high-value sectors.</w:t>
      </w:r>
    </w:p>
    <w:p w14:paraId="3DBD0703" w14:textId="77777777" w:rsidR="0085588B" w:rsidRDefault="0085588B" w:rsidP="0085588B">
      <w:pPr>
        <w:pStyle w:val="NormalWeb"/>
        <w:spacing w:before="0" w:beforeAutospacing="0" w:after="240" w:afterAutospacing="0"/>
        <w:rPr>
          <w:rFonts w:ascii="Arial" w:hAnsi="Arial" w:cs="Arial"/>
          <w:color w:val="1F1F1F"/>
        </w:rPr>
      </w:pPr>
      <w:r>
        <w:rPr>
          <w:rFonts w:ascii="Arial" w:hAnsi="Arial" w:cs="Arial"/>
          <w:color w:val="1F1F1F"/>
        </w:rPr>
        <w:t>The primary macroeconomic consequence is short-term disinflationary relief masking long-term industrial instability, particularly for the core export economies of Europe and Advanced Asia. The current competitive landscape is forcing the world’s largest trading blocs (the US and EU) to abandon post-Cold War free trade orthodoxy in favor of large-scale industrial policy and targeted protection.</w:t>
      </w:r>
    </w:p>
    <w:p w14:paraId="17C2C81F" w14:textId="77777777" w:rsidR="0085588B" w:rsidRDefault="0085588B" w:rsidP="0085588B">
      <w:pPr>
        <w:pStyle w:val="NormalWeb"/>
        <w:spacing w:before="0" w:beforeAutospacing="0" w:after="240" w:afterAutospacing="0"/>
        <w:rPr>
          <w:rFonts w:ascii="Arial" w:hAnsi="Arial" w:cs="Arial"/>
          <w:color w:val="1F1F1F"/>
        </w:rPr>
      </w:pPr>
      <w:r>
        <w:rPr>
          <w:rFonts w:ascii="Arial" w:hAnsi="Arial" w:cs="Arial"/>
          <w:color w:val="1F1F1F"/>
        </w:rPr>
        <w:t>The trajectory suggests increased geopolitical friction and continued GVC fragmentation. Success in navigating this shock will depend on the ability of trading partners to coordinate subsidy and tariff responses, secure resilient supply chains for key green and digital technologies, and strategically support emerging markets that can serve as viable alternative manufacturing hubs, thereby preventing the global economic system from settling into a highly volatile, zero-sum competition.</w:t>
      </w:r>
    </w:p>
    <w:p w14:paraId="6D7F587E" w14:textId="77777777" w:rsidR="00BF5C57" w:rsidRPr="0085588B" w:rsidRDefault="00BF5C57">
      <w:pPr>
        <w:rPr>
          <w:lang w:val="en-US"/>
        </w:rPr>
      </w:pPr>
    </w:p>
    <w:sectPr w:rsidR="00BF5C57" w:rsidRPr="008558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8575C0"/>
    <w:multiLevelType w:val="multilevel"/>
    <w:tmpl w:val="485C6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7A35ED"/>
    <w:multiLevelType w:val="multilevel"/>
    <w:tmpl w:val="1BB66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C1786C"/>
    <w:multiLevelType w:val="multilevel"/>
    <w:tmpl w:val="12EEA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5534811">
    <w:abstractNumId w:val="1"/>
  </w:num>
  <w:num w:numId="2" w16cid:durableId="304895291">
    <w:abstractNumId w:val="0"/>
  </w:num>
  <w:num w:numId="3" w16cid:durableId="20121764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88B"/>
    <w:rsid w:val="0028762A"/>
    <w:rsid w:val="003C05FD"/>
    <w:rsid w:val="0085588B"/>
    <w:rsid w:val="00BF5C57"/>
    <w:rsid w:val="00E448E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717B2"/>
  <w15:chartTrackingRefBased/>
  <w15:docId w15:val="{32C8ACB9-4BED-450E-8045-9EF780D82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88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85588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85588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85588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5588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558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8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8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8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88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85588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85588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85588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5588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55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88B"/>
    <w:rPr>
      <w:rFonts w:eastAsiaTheme="majorEastAsia" w:cstheme="majorBidi"/>
      <w:color w:val="272727" w:themeColor="text1" w:themeTint="D8"/>
    </w:rPr>
  </w:style>
  <w:style w:type="paragraph" w:styleId="Title">
    <w:name w:val="Title"/>
    <w:basedOn w:val="Normal"/>
    <w:next w:val="Normal"/>
    <w:link w:val="TitleChar"/>
    <w:uiPriority w:val="10"/>
    <w:qFormat/>
    <w:rsid w:val="00855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88B"/>
    <w:pPr>
      <w:spacing w:before="160"/>
      <w:jc w:val="center"/>
    </w:pPr>
    <w:rPr>
      <w:i/>
      <w:iCs/>
      <w:color w:val="404040" w:themeColor="text1" w:themeTint="BF"/>
    </w:rPr>
  </w:style>
  <w:style w:type="character" w:customStyle="1" w:styleId="QuoteChar">
    <w:name w:val="Quote Char"/>
    <w:basedOn w:val="DefaultParagraphFont"/>
    <w:link w:val="Quote"/>
    <w:uiPriority w:val="29"/>
    <w:rsid w:val="0085588B"/>
    <w:rPr>
      <w:i/>
      <w:iCs/>
      <w:color w:val="404040" w:themeColor="text1" w:themeTint="BF"/>
    </w:rPr>
  </w:style>
  <w:style w:type="paragraph" w:styleId="ListParagraph">
    <w:name w:val="List Paragraph"/>
    <w:basedOn w:val="Normal"/>
    <w:uiPriority w:val="34"/>
    <w:qFormat/>
    <w:rsid w:val="0085588B"/>
    <w:pPr>
      <w:ind w:left="720"/>
      <w:contextualSpacing/>
    </w:pPr>
  </w:style>
  <w:style w:type="character" w:styleId="IntenseEmphasis">
    <w:name w:val="Intense Emphasis"/>
    <w:basedOn w:val="DefaultParagraphFont"/>
    <w:uiPriority w:val="21"/>
    <w:qFormat/>
    <w:rsid w:val="0085588B"/>
    <w:rPr>
      <w:i/>
      <w:iCs/>
      <w:color w:val="2E74B5" w:themeColor="accent1" w:themeShade="BF"/>
    </w:rPr>
  </w:style>
  <w:style w:type="paragraph" w:styleId="IntenseQuote">
    <w:name w:val="Intense Quote"/>
    <w:basedOn w:val="Normal"/>
    <w:next w:val="Normal"/>
    <w:link w:val="IntenseQuoteChar"/>
    <w:uiPriority w:val="30"/>
    <w:qFormat/>
    <w:rsid w:val="0085588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5588B"/>
    <w:rPr>
      <w:i/>
      <w:iCs/>
      <w:color w:val="2E74B5" w:themeColor="accent1" w:themeShade="BF"/>
    </w:rPr>
  </w:style>
  <w:style w:type="character" w:styleId="IntenseReference">
    <w:name w:val="Intense Reference"/>
    <w:basedOn w:val="DefaultParagraphFont"/>
    <w:uiPriority w:val="32"/>
    <w:qFormat/>
    <w:rsid w:val="0085588B"/>
    <w:rPr>
      <w:b/>
      <w:bCs/>
      <w:smallCaps/>
      <w:color w:val="2E74B5" w:themeColor="accent1" w:themeShade="BF"/>
      <w:spacing w:val="5"/>
    </w:rPr>
  </w:style>
  <w:style w:type="paragraph" w:styleId="NormalWeb">
    <w:name w:val="Normal (Web)"/>
    <w:basedOn w:val="Normal"/>
    <w:uiPriority w:val="99"/>
    <w:semiHidden/>
    <w:unhideWhenUsed/>
    <w:rsid w:val="0085588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math-inline">
    <w:name w:val="math-inline"/>
    <w:basedOn w:val="DefaultParagraphFont"/>
    <w:rsid w:val="0085588B"/>
  </w:style>
  <w:style w:type="character" w:styleId="Strong">
    <w:name w:val="Strong"/>
    <w:basedOn w:val="DefaultParagraphFont"/>
    <w:uiPriority w:val="22"/>
    <w:qFormat/>
    <w:rsid w:val="008558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454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739</TotalTime>
  <Pages>10</Pages>
  <Words>4226</Words>
  <Characters>24094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bzu</dc:creator>
  <cp:keywords/>
  <dc:description/>
  <cp:lastModifiedBy>bzu</cp:lastModifiedBy>
  <cp:revision>1</cp:revision>
  <dcterms:created xsi:type="dcterms:W3CDTF">2025-11-30T17:27:00Z</dcterms:created>
  <dcterms:modified xsi:type="dcterms:W3CDTF">2025-12-01T05:46:00Z</dcterms:modified>
</cp:coreProperties>
</file>