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DC8BE" w14:textId="12DE4DB2" w:rsidR="00BF5C57" w:rsidRDefault="00CC215C">
      <w:pPr>
        <w:rPr>
          <w:lang w:val="en-US"/>
        </w:rPr>
      </w:pPr>
      <w:r>
        <w:rPr>
          <w:lang w:val="en-US"/>
        </w:rPr>
        <w:t>Trading the China Shock 2.0</w:t>
      </w:r>
    </w:p>
    <w:p w14:paraId="36C9604C" w14:textId="77777777" w:rsidR="00CC215C" w:rsidRDefault="00CC215C">
      <w:pPr>
        <w:rPr>
          <w:lang w:val="en-US"/>
        </w:rPr>
      </w:pPr>
    </w:p>
    <w:p w14:paraId="5B611D2C" w14:textId="29B78D59" w:rsidR="00CC215C" w:rsidRDefault="00CC215C">
      <w:pPr>
        <w:rPr>
          <w:lang w:val="en-US"/>
        </w:rPr>
      </w:pPr>
      <w:r>
        <w:rPr>
          <w:lang w:val="en-US"/>
        </w:rPr>
        <w:t>Source of China Shock 2.0</w:t>
      </w:r>
    </w:p>
    <w:p w14:paraId="4C1BE39B" w14:textId="77A8795F" w:rsidR="00CC215C" w:rsidRDefault="00CC215C">
      <w:pPr>
        <w:rPr>
          <w:lang w:val="en-US"/>
        </w:rPr>
      </w:pPr>
      <w:r>
        <w:rPr>
          <w:lang w:val="en-US"/>
        </w:rPr>
        <w:t>Impact on manufacturing globally</w:t>
      </w:r>
    </w:p>
    <w:p w14:paraId="1B88401C" w14:textId="2B40288D" w:rsidR="00CC215C" w:rsidRDefault="00CC215C">
      <w:pPr>
        <w:rPr>
          <w:lang w:val="en-US"/>
        </w:rPr>
      </w:pPr>
      <w:r>
        <w:rPr>
          <w:lang w:val="en-US"/>
        </w:rPr>
        <w:t>Impact on DMs vs Ems</w:t>
      </w:r>
    </w:p>
    <w:p w14:paraId="2EAA6623" w14:textId="1778F791" w:rsidR="00CC215C" w:rsidRDefault="00CC215C">
      <w:pPr>
        <w:rPr>
          <w:lang w:val="en-US"/>
        </w:rPr>
      </w:pPr>
      <w:r>
        <w:rPr>
          <w:lang w:val="en-US"/>
        </w:rPr>
        <w:t>Briggs analyses</w:t>
      </w:r>
    </w:p>
    <w:p w14:paraId="16FB9D54" w14:textId="77777777" w:rsidR="00CC215C" w:rsidRDefault="00CC215C">
      <w:pPr>
        <w:rPr>
          <w:lang w:val="en-US"/>
        </w:rPr>
      </w:pPr>
    </w:p>
    <w:p w14:paraId="25CC6AA7" w14:textId="16C7CC58" w:rsidR="00CC215C" w:rsidRDefault="00CC215C">
      <w:pPr>
        <w:rPr>
          <w:lang w:val="en-US"/>
        </w:rPr>
      </w:pPr>
      <w:r>
        <w:rPr>
          <w:lang w:val="en-US"/>
        </w:rPr>
        <w:t>Long AUD 5y5y</w:t>
      </w:r>
    </w:p>
    <w:p w14:paraId="647BC108" w14:textId="4A5E8D4E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More isolated from manufacturing spillovers</w:t>
      </w:r>
    </w:p>
    <w:p w14:paraId="7B373961" w14:textId="5792BE18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Positive and negatives</w:t>
      </w:r>
    </w:p>
    <w:p w14:paraId="3B6DD8A8" w14:textId="35DC8960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Less of a growth drag</w:t>
      </w:r>
    </w:p>
    <w:p w14:paraId="33768C5C" w14:textId="44D94133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But more receptive to both intermediate and final goods – disinflationary</w:t>
      </w:r>
    </w:p>
    <w:p w14:paraId="70B9531D" w14:textId="1DA04AAD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Less political pushback</w:t>
      </w:r>
    </w:p>
    <w:p w14:paraId="03A55898" w14:textId="7AB6A573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Property downturn headwind to iron ore exports</w:t>
      </w:r>
    </w:p>
    <w:p w14:paraId="3A685620" w14:textId="01283656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Other mining exports still a small share</w:t>
      </w:r>
    </w:p>
    <w:p w14:paraId="232F4CAF" w14:textId="2C8C551C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Risk to trade:</w:t>
      </w:r>
    </w:p>
    <w:p w14:paraId="72E31837" w14:textId="751A9A23" w:rsidR="00CC215C" w:rsidRDefault="00CC215C" w:rsidP="00CC21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Upside to mining capex cycle</w:t>
      </w:r>
    </w:p>
    <w:p w14:paraId="1FC20E54" w14:textId="2EE683FD" w:rsidR="00CC215C" w:rsidRDefault="00CC215C" w:rsidP="00CC21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Resilience in growth in the face of global slowdown</w:t>
      </w:r>
    </w:p>
    <w:p w14:paraId="418B8897" w14:textId="17038BC3" w:rsidR="00CC215C" w:rsidRDefault="00CC215C" w:rsidP="00CC215C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Tailwind from high global commodity prices</w:t>
      </w:r>
    </w:p>
    <w:p w14:paraId="18EABB45" w14:textId="3B0B1A76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Long vs NZD for insulation</w:t>
      </w:r>
    </w:p>
    <w:p w14:paraId="6EC0C14C" w14:textId="5DFB64B4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5% on swaps </w:t>
      </w:r>
    </w:p>
    <w:p w14:paraId="60DB56B1" w14:textId="7F6AA1E1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Longer term theme: Chinese current account surplus recycling?  AUD bonds look attractive in terms of carry</w:t>
      </w:r>
    </w:p>
    <w:p w14:paraId="4DF42732" w14:textId="0EE623B3" w:rsid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Strong fiscal position</w:t>
      </w:r>
    </w:p>
    <w:p w14:paraId="07FACE97" w14:textId="7B98B3BC" w:rsidR="00CC215C" w:rsidRDefault="00CC215C" w:rsidP="00CC215C">
      <w:pPr>
        <w:rPr>
          <w:lang w:val="en-US"/>
        </w:rPr>
      </w:pPr>
      <w:r>
        <w:rPr>
          <w:lang w:val="en-US"/>
        </w:rPr>
        <w:t>Long European 5y rates</w:t>
      </w:r>
    </w:p>
    <w:p w14:paraId="6A99FC62" w14:textId="1288AAD7" w:rsidR="00CC215C" w:rsidRPr="00CC215C" w:rsidRDefault="00CC215C" w:rsidP="00CC215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Inflation </w:t>
      </w:r>
      <w:proofErr w:type="spellStart"/>
      <w:r>
        <w:rPr>
          <w:lang w:val="en-US"/>
        </w:rPr>
        <w:t>breakevens</w:t>
      </w:r>
      <w:proofErr w:type="spellEnd"/>
      <w:r>
        <w:rPr>
          <w:lang w:val="en-US"/>
        </w:rPr>
        <w:t xml:space="preserve"> pricing?</w:t>
      </w:r>
    </w:p>
    <w:sectPr w:rsidR="00CC215C" w:rsidRPr="00CC2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1566F1"/>
    <w:multiLevelType w:val="hybridMultilevel"/>
    <w:tmpl w:val="6F2A2790"/>
    <w:lvl w:ilvl="0" w:tplc="8EDAE6F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47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15C"/>
    <w:rsid w:val="0028762A"/>
    <w:rsid w:val="00BF5C57"/>
    <w:rsid w:val="00CC215C"/>
    <w:rsid w:val="00E4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E45FA"/>
  <w15:chartTrackingRefBased/>
  <w15:docId w15:val="{5EE6101E-E489-4E50-9037-9C0C9CC1D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21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2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1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21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1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1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1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1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1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1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21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21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21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1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1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1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1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1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1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1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1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1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1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1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1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1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1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115</Words>
  <Characters>662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bzu</dc:creator>
  <cp:keywords/>
  <dc:description/>
  <cp:lastModifiedBy>bzu</cp:lastModifiedBy>
  <cp:revision>1</cp:revision>
  <dcterms:created xsi:type="dcterms:W3CDTF">2025-12-01T05:52:00Z</dcterms:created>
  <dcterms:modified xsi:type="dcterms:W3CDTF">2025-12-01T05:56:00Z</dcterms:modified>
</cp:coreProperties>
</file>