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The Evolving Landscape of Payment Stablecoins: Market Dynamics, Systemic Implications, and Growth Vectors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 Introduction: The Emergence of Payment Stablecoins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Payment stablecoins represent a significant evolution in digital finance, bridging the gap between traditional fiat currencies and the burgeoning blockchain ecosystem. These digital assets are meticulously designed to maintain a stable value, typically pegged on a one-to-one basis with a conventional fiat currency, predominantly the U.S. dollar.</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Their fundamental purpose is to serve as a reliable medium of exchange or for settlement, combining the price predictability and trust associated with sovereign money with the inherent advantages of blockchain technology, such as enhanced speed, global reach, and programmability.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These assets are recorded on cryptographically secured distributed ledgers, ensuring transparency and immutability of transactions.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core characteristic of stablecoins lies in their ability to maintain a steady value across varying market conditions, achieved through backing by other assets or sophisticated stabilizing features.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While various types exist, including crypto-backed and algorithmic stablecoins, fiat-backed stablecoins are the most prevalent and widely adopted for payment functionalities.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These maintain their 1:1 peg by holding corresponding fiat currency reserves or highly liquid cash-equivalents, such as government securities, bank deposits, or repurchase agreements, often held in segregated, bankruptcy-remote accounts to ensure asset integrity.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Issuers of these stablecoins are contractually obligated to redeem them at the predetermined fixed amount, a commitment reinforced by market-driven arbitrage mechanisms where traders exploit any price deviations from the peg to restore parity.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Notable examples in the market include USDC, USDT, and PayPal's PYUSD.</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It is important to note that the proposed GENIUS Act, a significant piece of U.S. legislation, specifically defines and prioritizes "payment stablecoins" that are asset-backed, while mandating a separate study for algorithmic stablecoins, indicating a clear regulatory preference for models integrated with existing financial stability mechanisms.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regulatory and market emphasis on fiat-backed stablecoins, particularly the dominance of USD-denominated stablecoins which constitute 99% of the market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points to a strategic direction. This strong inclination suggests a deliberate push towards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tokenized versions of existing fiat currencies</w:t>
      </w:r>
      <w:r w:rsidDel="00000000" w:rsidR="00000000" w:rsidRPr="00000000">
        <w:rPr>
          <w:rFonts w:ascii="Google Sans Text" w:cs="Google Sans Text" w:eastAsia="Google Sans Text" w:hAnsi="Google Sans Text"/>
          <w:i w:val="0"/>
          <w:color w:val="1b1c1d"/>
          <w:sz w:val="24"/>
          <w:szCs w:val="24"/>
          <w:rtl w:val="0"/>
        </w:rPr>
        <w:t xml:space="preserve"> rather than the proliferation of entirely new, unbacked digital monetary forms. This approach implies that innovation within the digital asset space is being channeled into a controlled, familiar framework, prioritizing stability and seamless integration with established monetary systems over radical decentralization. This controlled evolution aims to leverage blockchain's efficiencies while mitigating systemic risks.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Growing Landscape: Market Size, Transaction Volumes, and Primary Use Cases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stablecoin market has experienced remarkable expansion, with its total capitalization reaching approximately $255 billion as of July 2025, reflecting a substantial 54% increase from the previous year.</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Projections from U.S. Treasury Secretary Scott Bessent anticipate this market cap could surge to an impressive $2 trillion within the next three years.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The operational scale is equally compelling, with monthly transaction volumes exceeding $710 billion in March 2025. Furthermore, the total transfer volume in 2024, at over $27.6 trillion, notably surpassed the combined transaction volumes of Visa and Mastercard, underscoring their burgeoning significance in global payments.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rapid growth is fueled by diverse and compelling use cases: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Medium of Exchange:</w:t>
      </w:r>
      <w:r w:rsidDel="00000000" w:rsidR="00000000" w:rsidRPr="00000000">
        <w:rPr>
          <w:rFonts w:ascii="Google Sans Text" w:cs="Google Sans Text" w:eastAsia="Google Sans Text" w:hAnsi="Google Sans Text"/>
          <w:i w:val="0"/>
          <w:color w:val="1b1c1d"/>
          <w:sz w:val="24"/>
          <w:szCs w:val="24"/>
          <w:rtl w:val="0"/>
        </w:rPr>
        <w:t xml:space="preserve"> Stablecoins serve as a critical medium of exchange within the crypto ecosystem, facilitating seamless value transfer both into and out of traditional fiat environments. They enable transactions within blockchain-based trading environments and provide a mechanism for converting value back to fiat.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Cross-Border Payments and Remittances:</w:t>
      </w:r>
      <w:r w:rsidDel="00000000" w:rsidR="00000000" w:rsidRPr="00000000">
        <w:rPr>
          <w:rFonts w:ascii="Google Sans Text" w:cs="Google Sans Text" w:eastAsia="Google Sans Text" w:hAnsi="Google Sans Text"/>
          <w:i w:val="0"/>
          <w:color w:val="1b1c1d"/>
          <w:sz w:val="24"/>
          <w:szCs w:val="24"/>
          <w:rtl w:val="0"/>
        </w:rPr>
        <w:t xml:space="preserve"> Stablecoins offer a significantly faster, cheaper, and more transparent alternative to traditional cross-border money movement methods like SWIFT. They can dramatically reduce remittance fees, potentially cutting costs by up to 80% compared to traditional methods.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Companies such as PayPal (via Xoom) and MoneyGram (via Stellar) are already leveraging stablecoins for remittances, demonstrating real-world efficiency gains.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Merchant Transactions and Settlements:</w:t>
      </w:r>
      <w:r w:rsidDel="00000000" w:rsidR="00000000" w:rsidRPr="00000000">
        <w:rPr>
          <w:rFonts w:ascii="Google Sans Text" w:cs="Google Sans Text" w:eastAsia="Google Sans Text" w:hAnsi="Google Sans Text"/>
          <w:i w:val="0"/>
          <w:color w:val="1b1c1d"/>
          <w:sz w:val="24"/>
          <w:szCs w:val="24"/>
          <w:rtl w:val="0"/>
        </w:rPr>
        <w:t xml:space="preserve"> Stablecoins enable the purchasing of goods and services with reduced processing times and minimal fees. They offer faster (T+0) settlement on a 24/7/365 basis, lower processing fees (potentially over 50% savings compared to card networks), and the elimination of chargeback risk due to transaction finality.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Shopify, for instance, has integrated USDC payments for its merchants, highlighting the growing adoption in e-commerce.</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Store of Value:</w:t>
      </w:r>
      <w:r w:rsidDel="00000000" w:rsidR="00000000" w:rsidRPr="00000000">
        <w:rPr>
          <w:rFonts w:ascii="Google Sans Text" w:cs="Google Sans Text" w:eastAsia="Google Sans Text" w:hAnsi="Google Sans Text"/>
          <w:i w:val="0"/>
          <w:color w:val="1b1c1d"/>
          <w:sz w:val="24"/>
          <w:szCs w:val="24"/>
          <w:rtl w:val="0"/>
        </w:rPr>
        <w:t xml:space="preserve"> Properly structured stablecoins can be held in digital wallets as a stable store of value, akin to a bank account or money market fund, offering a hedge against currency volatility, inflation, and economic instability.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Treasury Management:</w:t>
      </w:r>
      <w:r w:rsidDel="00000000" w:rsidR="00000000" w:rsidRPr="00000000">
        <w:rPr>
          <w:rFonts w:ascii="Google Sans Text" w:cs="Google Sans Text" w:eastAsia="Google Sans Text" w:hAnsi="Google Sans Text"/>
          <w:i w:val="0"/>
          <w:color w:val="1b1c1d"/>
          <w:sz w:val="24"/>
          <w:szCs w:val="24"/>
          <w:rtl w:val="0"/>
        </w:rPr>
        <w:t xml:space="preserve"> Businesses can utilize stablecoins for instant liquidity movement across accounts and geographies, enabling 24/7 liquidity management, automated cash sweeps, and reduced foreign exchange exposure on intercompany flows.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Siemens, for example, uses JPM Coin for automated internal treasury transfers, showcasing the operational efficiencies possible.</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Decentralized Finance (DeFi):</w:t>
      </w:r>
      <w:r w:rsidDel="00000000" w:rsidR="00000000" w:rsidRPr="00000000">
        <w:rPr>
          <w:rFonts w:ascii="Google Sans Text" w:cs="Google Sans Text" w:eastAsia="Google Sans Text" w:hAnsi="Google Sans Text"/>
          <w:i w:val="0"/>
          <w:color w:val="1b1c1d"/>
          <w:sz w:val="24"/>
          <w:szCs w:val="24"/>
          <w:rtl w:val="0"/>
        </w:rPr>
        <w:t xml:space="preserve"> Stablecoins play a pivotal role in the DeFi sector, serving as collateral for loans and a medium of exchange within various protocols, providing essential stability and liquidity to this innovative financial segment.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significant projected growth in stablecoin market capitalization and the increasing integration by major companies are directly linked to the emerging regulatory clarity, particularly the progress of the GENIUS Act.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This relationship indicates that the perceived institutional legitimacy and reduced legal ambiguity provided by regulation are key enablers for stablecoins to transition from niche crypto-trading instruments to mainstream payment infrastructure. The uncertainty surrounding regulation has historically hindered broader institutional adoption.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The GENIUS Act, by providing a "clear, pro-growth legal framework" </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and defining permissible activities and stringent reserve requirements, reduces the compliance and legal risks for traditional financial institutions and large corporations to engage with stablecoins. This regulatory endorsement is enabling the shift from stablecoins' primary use in crypto trading (which accounted for 88% of their transaction value in 2024 </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to a wider array of payment and treasury management applications. This implies that the future trajectory of stablecoins is heavily dependent on the continued evolution of regulatory frameworks. As regulatory clarity increases, the competitive pressure on traditional payment rails will intensify, compelling them to innovate or risk losing market share, particularly in high-friction areas like cross-border payments. The opportunity for sell-side firms thus extends beyond the stablecoins themselves to the infrastructure and services that facilitate their compliant integration into the broader financial ecosystem.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2. Payment Stablecoins vs. Traditional Money: A Fundamental Comparison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emergence of payment stablecoins necessitates a thorough comparison with traditional forms of money to understand their role and potential impact on the financial system. While stablecoins share functional overlaps with traditional money, critical distinctions in their issuance, settlement, and underlying principles of "sound money" define their unique position.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Similarities and Functional Overlaps: Medium of Exchange, Store of Value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Stablecoins are designed to perform the core functions of money, serving effectively as both a medium of exchange and a store of value.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They enable the purchase of goods and services, mirroring the utility of fiat currency in commerce.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Furthermore, properly structured stablecoins can be held digitally in wallets to preserve value and hedge against volatility, much like traditional bank accounts or money market funds.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In essence, stablecoins represent a blockchain-based manifestation of fiat currency, offering the potential for faster and more cost-effective movement across global networks compared to traditional transfers.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Despite their functional equivalence to money, stablecoins are explicitly stated to "represent dollars — but they are not dollars".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This subtle but critical distinction highlights that their "money-ness" is derived from their peg and backing, rather than from sovereign issuance or explicit deposit insurance. This creates a new form of "private money" that operates alongside, yet distinct from, central bank money and commercial bank deposits. The core difference lies in the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nature of the liability</w:t>
      </w:r>
      <w:r w:rsidDel="00000000" w:rsidR="00000000" w:rsidRPr="00000000">
        <w:rPr>
          <w:rFonts w:ascii="Google Sans Text" w:cs="Google Sans Text" w:eastAsia="Google Sans Text" w:hAnsi="Google Sans Text"/>
          <w:i w:val="0"/>
          <w:color w:val="1b1c1d"/>
          <w:sz w:val="24"/>
          <w:szCs w:val="24"/>
          <w:rtl w:val="0"/>
        </w:rPr>
        <w:t xml:space="preserve">. Traditional money, such as physical cash or central bank reserves, is a direct liability of the central bank, carrying no credit risk. Bank deposits, while widely used as money, are liabilities of commercial banks, backed by central bank money and typically protected by deposit insurance schemes. Stablecoins, even when fully backed on a 1:1 basis, are liabilities of </w:t>
      </w:r>
      <w:r w:rsidDel="00000000" w:rsidR="00000000" w:rsidRPr="00000000">
        <w:rPr>
          <w:rFonts w:ascii="Google Sans Text" w:cs="Google Sans Text" w:eastAsia="Google Sans Text" w:hAnsi="Google Sans Text"/>
          <w:i w:val="1"/>
          <w:color w:val="1b1c1d"/>
          <w:sz w:val="24"/>
          <w:szCs w:val="24"/>
          <w:rtl w:val="0"/>
        </w:rPr>
        <w:t xml:space="preserve">private issuers</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Their value is maintained through a combination of reserves, arbitrage mechanisms, and market confidence, rather than by an explicit sovereign guarantee or federal insurance.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This introduces a new layer of credit risk and counterparty risk that is absent in traditional central bank money. This fundamental difference is at the heart of the "sound money" debate, particularly from the perspective of central banks like the Bank for International Settlements (BIS).</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It underscores why central banks advocate for Central Bank Digital Currencies (CBDCs) or tokenized deposits as alternatives that preserve the "singleness" and integrity of money under central authority, rather than relying on disparate private issuers. This ongoing debate will continue to shape the regulatory and competitive landscape of digital currencies.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Key Distinctions: Issuance, Settlement, and the "Sound Money" Debate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distinctions between payment stablecoins and traditional money are profound, particularly concerning their issuance models, settlement mechanisms, and adherence to the principles of "sound money" as articulated by the Bank for International Settlements (BIS).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Unlike traditional money, which is issued by central banks or commercial banks operating under a fractional reserve system, stablecoins are issued by a diverse array of private entities. These include crypto-native firms, fintech companies such as PayPal, and increasingly, regulated banks like J.P. Morgan and Banking Circle.</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Fiat-backed stablecoins typically operate on a full-reserve model, requiring 1:1 backing with highly liquid assets, a structural difference from fractional reserve banking.</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Stablecoins leverage blockchain technology to offer near-instant, 24/7/365 settlement (T+0).</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This capability stands in stark contrast to traditional payment rails such as SWIFT, ACH, SEPA, and card networks, which often involve multiple intermediaries, operate within specific business hours, and can incur significant delays.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However, the BIS, often referred to as the "central bank to central banks," has raised significant concerns about stablecoins' ability to function as "sound money" when assessed against three critical tests: singleness, elasticity, and integrity.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Singleness of Money:</w:t>
      </w:r>
      <w:r w:rsidDel="00000000" w:rsidR="00000000" w:rsidRPr="00000000">
        <w:rPr>
          <w:rFonts w:ascii="Google Sans Text" w:cs="Google Sans Text" w:eastAsia="Google Sans Text" w:hAnsi="Google Sans Text"/>
          <w:i w:val="0"/>
          <w:color w:val="1b1c1d"/>
          <w:sz w:val="24"/>
          <w:szCs w:val="24"/>
          <w:rtl w:val="0"/>
        </w:rPr>
        <w:t xml:space="preserve"> The BIS contends that stablecoins fail the test of singleness because they are liabilities of specific private issuers. This implies that different stablecoins, even if pegged to the same fiat currency, may not be universally accepted at par (1:1) without question.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They can trade at varying exchange rates depending on the perceived creditworthiness and operational resilience of their respective issuers, thereby undermining the "no-questions-asked" principle of traditional money.</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The temporary de-peg of USDC during the 2023 banking crisis, when Circle temporarily lost access to part of its reserves due to the Silicon Valley Bank collapse, serves as a real-world illustration of this vulnerability.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In contrast, traditional central bank money ensures singleness through final settlement on the central bank's balance sheet, homogenizing credit risk across the financial system.</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color w:val="1b1c1d"/>
          <w:sz w:val="24"/>
          <w:szCs w:val="24"/>
          <w:rtl w:val="0"/>
        </w:rPr>
        <w:t xml:space="preserve">The core contradiction lies between stablecoins' promise of "stability" (a 1:1 peg) and the BIS's assertion that they fail the "singleness" test due to issuer-specific credit risk and the potential for trading at varying exchange rates.16 This indicates that even with robust 1:1 reserve backing,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sz w:val="24"/>
          <w:szCs w:val="24"/>
          <w:rtl w:val="0"/>
        </w:rPr>
        <w:t xml:space="preserve">private nature of the issuer</w:t>
      </w:r>
      <w:r w:rsidDel="00000000" w:rsidR="00000000" w:rsidRPr="00000000">
        <w:rPr>
          <w:rFonts w:ascii="Google Sans Text" w:cs="Google Sans Text" w:eastAsia="Google Sans Text" w:hAnsi="Google Sans Text"/>
          <w:i w:val="0"/>
          <w:color w:val="1b1c1d"/>
          <w:sz w:val="24"/>
          <w:szCs w:val="24"/>
          <w:rtl w:val="0"/>
        </w:rPr>
        <w:t xml:space="preserve"> introduces a layer of counterparty and operational risk that is absent in central bank money, making stablecoins inherently less "sound" in a systemic sense. The failure of "singleness" is a direct consequence of stablecoins being </w:t>
      </w:r>
      <w:r w:rsidDel="00000000" w:rsidR="00000000" w:rsidRPr="00000000">
        <w:rPr>
          <w:rFonts w:ascii="Google Sans Text" w:cs="Google Sans Text" w:eastAsia="Google Sans Text" w:hAnsi="Google Sans Text"/>
          <w:i w:val="1"/>
          <w:color w:val="1b1c1d"/>
          <w:sz w:val="24"/>
          <w:szCs w:val="24"/>
          <w:rtl w:val="0"/>
        </w:rPr>
        <w:t xml:space="preserve">private money</w:t>
      </w:r>
      <w:r w:rsidDel="00000000" w:rsidR="00000000" w:rsidRPr="00000000">
        <w:rPr>
          <w:rFonts w:ascii="Google Sans Text" w:cs="Google Sans Text" w:eastAsia="Google Sans Text" w:hAnsi="Google Sans Text"/>
          <w:i w:val="0"/>
          <w:color w:val="1b1c1d"/>
          <w:sz w:val="24"/>
          <w:szCs w:val="24"/>
          <w:rtl w:val="0"/>
        </w:rPr>
        <w:t xml:space="preserve">. Unlike central bank money, which is a direct claim on the sovereign and settles on its balance sheet, stablecoins are claims on a private entity. This means that the perceived creditworthiness, operational resilience, and regulatory environment of the </w:t>
      </w:r>
      <w:r w:rsidDel="00000000" w:rsidR="00000000" w:rsidRPr="00000000">
        <w:rPr>
          <w:rFonts w:ascii="Google Sans Text" w:cs="Google Sans Text" w:eastAsia="Google Sans Text" w:hAnsi="Google Sans Text"/>
          <w:i w:val="1"/>
          <w:color w:val="1b1c1d"/>
          <w:sz w:val="24"/>
          <w:szCs w:val="24"/>
          <w:rtl w:val="0"/>
        </w:rPr>
        <w:t xml:space="preserve">issuer</w:t>
      </w:r>
      <w:r w:rsidDel="00000000" w:rsidR="00000000" w:rsidRPr="00000000">
        <w:rPr>
          <w:rFonts w:ascii="Google Sans Text" w:cs="Google Sans Text" w:eastAsia="Google Sans Text" w:hAnsi="Google Sans Text"/>
          <w:i w:val="0"/>
          <w:color w:val="1b1c1d"/>
          <w:sz w:val="24"/>
          <w:szCs w:val="24"/>
          <w:rtl w:val="0"/>
        </w:rPr>
        <w:t xml:space="preserve"> (and their custodians) become critical factors influencing market acceptance and the ability to maintain the peg at all times. A robust 1:1 backing is necessary but not sufficient to guarantee singleness if the issuer faces operational or confidence issues, as demonstrated by USDC's temporary de-peg.</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This inherent limitation suggests that stablecoins, while efficient for certain payment use cases, may struggle to achieve the universal acceptance and trust required to become the "mainstay of the monetary system"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without a stronger form of public guarantee or central bank involvement. This reinforces the argument for central bank digital currencies (CBDCs) or tokenized deposits as alternatives that preserve monetary singleness and central bank oversight.</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Elasticity:</w:t>
      </w:r>
      <w:r w:rsidDel="00000000" w:rsidR="00000000" w:rsidRPr="00000000">
        <w:rPr>
          <w:rFonts w:ascii="Google Sans Text" w:cs="Google Sans Text" w:eastAsia="Google Sans Text" w:hAnsi="Google Sans Text"/>
          <w:i w:val="0"/>
          <w:color w:val="1b1c1d"/>
          <w:sz w:val="24"/>
          <w:szCs w:val="24"/>
          <w:rtl w:val="0"/>
        </w:rPr>
        <w:t xml:space="preserve"> Stablecoins are considered to lack elasticity because their supply requires full upfront payment by holders for new issuance, imposing a strict "cash-in-advance" constraint.</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This fundamentally differs from the ability of commercial banks in a two-tier system to elastically expand and contract the money supply through credit creation (lending without full reserve backing). This elasticity is crucial for meeting payment obligations and easing credit constraints, especially during periods of financial stress.</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Integrity:</w:t>
      </w:r>
      <w:r w:rsidDel="00000000" w:rsidR="00000000" w:rsidRPr="00000000">
        <w:rPr>
          <w:rFonts w:ascii="Google Sans Text" w:cs="Google Sans Text" w:eastAsia="Google Sans Text" w:hAnsi="Google Sans Text"/>
          <w:i w:val="0"/>
          <w:color w:val="1b1c1d"/>
          <w:sz w:val="24"/>
          <w:szCs w:val="24"/>
          <w:rtl w:val="0"/>
        </w:rPr>
        <w:t xml:space="preserve"> As digital bearer instruments circulating on borderless public blockchains, stablecoins are susceptible to Know-Your-Customer (KYC) compliance weaknesses and have been identified as a "go-to choice for illicit use," including money laundering and terrorism financing.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The pseudonymity of public blockchains and the historical absence of robust KYC standards exacerbate this issue. In contrast, in traditional deposit-based systems, the onus for maintaining integrity rests squarely on customer-facing intermediaries (banks) who are mandated to enforce KYC rules and have the capacity to stop illicit payments.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Regulatory Frameworks: The GENIUS Act and Global Efforts to Govern Stablecoins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Regulatory clarity is widely recognized as a crucial prerequisite for the broader adoption and institutional integration of stablecoins, as it mitigates legal and operational uncertainties.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The Guiding and Establishing National Innovation for U.S. Stablecoins Act of 2025 (GENIUS Act) represents a significant step in the U.S. towards providing this framework. This landmark bipartisan legislation, having passed the Senate and awaiting action in the House, aims to establish the first comprehensive federal regulatory framework for payment stablecoins in the United States.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Key provisions of the GENIUS Act include:</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Definition and Classification:</w:t>
      </w:r>
      <w:r w:rsidDel="00000000" w:rsidR="00000000" w:rsidRPr="00000000">
        <w:rPr>
          <w:rFonts w:ascii="Google Sans Text" w:cs="Google Sans Text" w:eastAsia="Google Sans Text" w:hAnsi="Google Sans Text"/>
          <w:i w:val="0"/>
          <w:color w:val="1b1c1d"/>
          <w:sz w:val="24"/>
          <w:szCs w:val="24"/>
          <w:rtl w:val="0"/>
        </w:rPr>
        <w:t xml:space="preserve"> The Act defines payment stablecoins as digital assets intended for payment or settlement, redeemable at a fixed monetary amount. Crucially, it explicitly clarifies that these assets are </w:t>
      </w:r>
      <w:r w:rsidDel="00000000" w:rsidR="00000000" w:rsidRPr="00000000">
        <w:rPr>
          <w:rFonts w:ascii="Google Sans Text" w:cs="Google Sans Text" w:eastAsia="Google Sans Text" w:hAnsi="Google Sans Text"/>
          <w:i w:val="1"/>
          <w:color w:val="1b1c1d"/>
          <w:sz w:val="24"/>
          <w:szCs w:val="24"/>
          <w:rtl w:val="0"/>
        </w:rPr>
        <w:t xml:space="preserve">not</w:t>
      </w:r>
      <w:r w:rsidDel="00000000" w:rsidR="00000000" w:rsidRPr="00000000">
        <w:rPr>
          <w:rFonts w:ascii="Google Sans Text" w:cs="Google Sans Text" w:eastAsia="Google Sans Text" w:hAnsi="Google Sans Text"/>
          <w:i w:val="0"/>
          <w:color w:val="1b1c1d"/>
          <w:sz w:val="24"/>
          <w:szCs w:val="24"/>
          <w:rtl w:val="0"/>
        </w:rPr>
        <w:t xml:space="preserve"> securities and are </w:t>
      </w:r>
      <w:r w:rsidDel="00000000" w:rsidR="00000000" w:rsidRPr="00000000">
        <w:rPr>
          <w:rFonts w:ascii="Google Sans Text" w:cs="Google Sans Text" w:eastAsia="Google Sans Text" w:hAnsi="Google Sans Text"/>
          <w:i w:val="1"/>
          <w:color w:val="1b1c1d"/>
          <w:sz w:val="24"/>
          <w:szCs w:val="24"/>
          <w:rtl w:val="0"/>
        </w:rPr>
        <w:t xml:space="preserve">not</w:t>
      </w:r>
      <w:r w:rsidDel="00000000" w:rsidR="00000000" w:rsidRPr="00000000">
        <w:rPr>
          <w:rFonts w:ascii="Google Sans Text" w:cs="Google Sans Text" w:eastAsia="Google Sans Text" w:hAnsi="Google Sans Text"/>
          <w:i w:val="0"/>
          <w:color w:val="1b1c1d"/>
          <w:sz w:val="24"/>
          <w:szCs w:val="24"/>
          <w:rtl w:val="0"/>
        </w:rPr>
        <w:t xml:space="preserve"> federally insured, providing essential legal certainty and defining their regulatory scope.</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Permitted Issuers:</w:t>
      </w:r>
      <w:r w:rsidDel="00000000" w:rsidR="00000000" w:rsidRPr="00000000">
        <w:rPr>
          <w:rFonts w:ascii="Google Sans Text" w:cs="Google Sans Text" w:eastAsia="Google Sans Text" w:hAnsi="Google Sans Text"/>
          <w:i w:val="0"/>
          <w:color w:val="1b1c1d"/>
          <w:sz w:val="24"/>
          <w:szCs w:val="24"/>
          <w:rtl w:val="0"/>
        </w:rPr>
        <w:t xml:space="preserve"> The Act restricts stablecoin issuance to "permitted payment stablecoin issuers," encompassing subsidiaries of insured depository institutions (IDIs), federally licensed nonbank entities, federal branches of foreign banks, and uninsured national banks.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Public companies not primarily engaged in financial activities are generally prohibited from issuing stablecoins.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Strict Reserve Requirements:</w:t>
      </w:r>
      <w:r w:rsidDel="00000000" w:rsidR="00000000" w:rsidRPr="00000000">
        <w:rPr>
          <w:rFonts w:ascii="Google Sans Text" w:cs="Google Sans Text" w:eastAsia="Google Sans Text" w:hAnsi="Google Sans Text"/>
          <w:i w:val="0"/>
          <w:color w:val="1b1c1d"/>
          <w:sz w:val="24"/>
          <w:szCs w:val="24"/>
          <w:rtl w:val="0"/>
        </w:rPr>
        <w:t xml:space="preserve"> Issuers are mandated to maintain identifiable reserves backing their outstanding stablecoins on at least a one-to-one basis, with explicit prohibitions against pledging or rehypothecating these reserves except in limited, specified circumstances.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Permitted reserves are limited to highly liquid, low-risk assets such as U.S. cash, insured deposits, short-dated Treasury bills (93 days or less), overnight repurchase agreements, and government money market funds.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Oversight and Compliance:</w:t>
      </w:r>
      <w:r w:rsidDel="00000000" w:rsidR="00000000" w:rsidRPr="00000000">
        <w:rPr>
          <w:rFonts w:ascii="Google Sans Text" w:cs="Google Sans Text" w:eastAsia="Google Sans Text" w:hAnsi="Google Sans Text"/>
          <w:i w:val="0"/>
          <w:color w:val="1b1c1d"/>
          <w:sz w:val="24"/>
          <w:szCs w:val="24"/>
          <w:rtl w:val="0"/>
        </w:rPr>
        <w:t xml:space="preserve"> The bill establishes a dual federal/state regulatory structure, allowing for both national and localized oversight.</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Issuers are subject to tailored capital, liquidity, and risk management rules </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and must establish and publicly disclose clear redemption procedures.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They are also required to issue periodic reports on outstanding stablecoins and reserve composition, which must be certified by executives and audited by registered public accounting firms.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Significantly, issuers fall under the purview of the Bank Secrecy Act and tailored Anti-Money Laundering (AML) rules, necessitating the technological capability to freeze or seize transactions upon lawful order.</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Prohibition on Interest Payments:</w:t>
      </w:r>
      <w:r w:rsidDel="00000000" w:rsidR="00000000" w:rsidRPr="00000000">
        <w:rPr>
          <w:rFonts w:ascii="Google Sans Text" w:cs="Google Sans Text" w:eastAsia="Google Sans Text" w:hAnsi="Google Sans Text"/>
          <w:i w:val="0"/>
          <w:color w:val="1b1c1d"/>
          <w:sz w:val="24"/>
          <w:szCs w:val="24"/>
          <w:rtl w:val="0"/>
        </w:rPr>
        <w:t xml:space="preserve"> A notable provision prohibits permitted issuers from paying any form of interest or yield to stablecoin holders "solely in connection with the holding, use, or retention of such payment stablecoin".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regulatory intervention directly influences the competitive landscape between stablecoins and traditional financial products like bank deposits and money market funds. This regulatory choice fundamentally positions stablecoins as 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sz w:val="24"/>
          <w:szCs w:val="24"/>
          <w:rtl w:val="0"/>
        </w:rPr>
        <w:t xml:space="preserve">payment utility</w:t>
      </w:r>
      <w:r w:rsidDel="00000000" w:rsidR="00000000" w:rsidRPr="00000000">
        <w:rPr>
          <w:rFonts w:ascii="Google Sans Text" w:cs="Google Sans Text" w:eastAsia="Google Sans Text" w:hAnsi="Google Sans Text"/>
          <w:i w:val="0"/>
          <w:color w:val="1b1c1d"/>
          <w:sz w:val="24"/>
          <w:szCs w:val="24"/>
          <w:rtl w:val="0"/>
        </w:rPr>
        <w:t xml:space="preserve"> rather than a </w:t>
      </w:r>
      <w:r w:rsidDel="00000000" w:rsidR="00000000" w:rsidRPr="00000000">
        <w:rPr>
          <w:rFonts w:ascii="Google Sans Text" w:cs="Google Sans Text" w:eastAsia="Google Sans Text" w:hAnsi="Google Sans Text"/>
          <w:i w:val="1"/>
          <w:color w:val="1b1c1d"/>
          <w:sz w:val="24"/>
          <w:szCs w:val="24"/>
          <w:rtl w:val="0"/>
        </w:rPr>
        <w:t xml:space="preserve">yield-generating investment</w:t>
      </w:r>
      <w:r w:rsidDel="00000000" w:rsidR="00000000" w:rsidRPr="00000000">
        <w:rPr>
          <w:rFonts w:ascii="Google Sans Text" w:cs="Google Sans Text" w:eastAsia="Google Sans Text" w:hAnsi="Google Sans Text"/>
          <w:i w:val="0"/>
          <w:color w:val="1b1c1d"/>
          <w:sz w:val="24"/>
          <w:szCs w:val="24"/>
          <w:rtl w:val="0"/>
        </w:rPr>
        <w:t xml:space="preserve">, potentially limiting their ability to attract capital from interest-sensitive traditional investors. By removing this incentive for stablecoin holdings, the GENIUS Act creates a clear competitive disadvantage for non-bank stablecoins in attracting idle cash balances that seek a return. This regulatory design implicitly reinforces the role of traditional banking for savings and yield, while pushing stablecoins towards their core utility as efficient payment rails. It could limit the "crowding out" effect on bank deposits by retaining yield-sensitive capital within the traditional banking system.</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Custody Requirements:</w:t>
      </w:r>
      <w:r w:rsidDel="00000000" w:rsidR="00000000" w:rsidRPr="00000000">
        <w:rPr>
          <w:rFonts w:ascii="Google Sans Text" w:cs="Google Sans Text" w:eastAsia="Google Sans Text" w:hAnsi="Google Sans Text"/>
          <w:i w:val="0"/>
          <w:color w:val="1b1c1d"/>
          <w:sz w:val="24"/>
          <w:szCs w:val="24"/>
          <w:rtl w:val="0"/>
        </w:rPr>
        <w:t xml:space="preserve"> Only regulated financial institutions supervised by a federal banking agency, SEC, CFTC, or a state banking supervisor are permitted to provide custodial services for stablecoin reserves.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Beyond the U.S., jurisdictions like the EU (with its Markets in Crypto-Assets, MiCA, regulation), Singapore (MAS regulations), and the UK are also actively developing comprehensive regulatory frameworks for stablecoins.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This reflects a global trend towards bringing these digital assets under prudential oversight. The European Central Bank (ECB) has notably renewed its push for a digital euro, partly to counter the growing dominance of US dollar-backed stablecoins in Europe and to protect the eurozone's monetary sovereignty.</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This global regulatory movement underscores the recognition of stablecoins' potential impact and the need for a harmonized approach to ensure financial stability.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regulatory landscape creates a distinct strategic opportunity for </w:t>
      </w:r>
      <w:r w:rsidDel="00000000" w:rsidR="00000000" w:rsidRPr="00000000">
        <w:rPr>
          <w:rFonts w:ascii="Google Sans Text" w:cs="Google Sans Text" w:eastAsia="Google Sans Text" w:hAnsi="Google Sans Text"/>
          <w:i w:val="1"/>
          <w:color w:val="1b1c1d"/>
          <w:sz w:val="24"/>
          <w:szCs w:val="24"/>
          <w:rtl w:val="0"/>
        </w:rPr>
        <w:t xml:space="preserve">banks</w:t>
      </w:r>
      <w:r w:rsidDel="00000000" w:rsidR="00000000" w:rsidRPr="00000000">
        <w:rPr>
          <w:rFonts w:ascii="Google Sans Text" w:cs="Google Sans Text" w:eastAsia="Google Sans Text" w:hAnsi="Google Sans Text"/>
          <w:i w:val="0"/>
          <w:color w:val="1b1c1d"/>
          <w:sz w:val="24"/>
          <w:szCs w:val="24"/>
          <w:rtl w:val="0"/>
        </w:rPr>
        <w:t xml:space="preserve"> to issue their own tokenized deposits or stablecoins that </w:t>
      </w:r>
      <w:r w:rsidDel="00000000" w:rsidR="00000000" w:rsidRPr="00000000">
        <w:rPr>
          <w:rFonts w:ascii="Google Sans Text" w:cs="Google Sans Text" w:eastAsia="Google Sans Text" w:hAnsi="Google Sans Text"/>
          <w:i w:val="1"/>
          <w:color w:val="1b1c1d"/>
          <w:sz w:val="24"/>
          <w:szCs w:val="24"/>
          <w:rtl w:val="0"/>
        </w:rPr>
        <w:t xml:space="preserve">can</w:t>
      </w:r>
      <w:r w:rsidDel="00000000" w:rsidR="00000000" w:rsidRPr="00000000">
        <w:rPr>
          <w:rFonts w:ascii="Google Sans Text" w:cs="Google Sans Text" w:eastAsia="Google Sans Text" w:hAnsi="Google Sans Text"/>
          <w:i w:val="0"/>
          <w:color w:val="1b1c1d"/>
          <w:sz w:val="24"/>
          <w:szCs w:val="24"/>
          <w:rtl w:val="0"/>
        </w:rPr>
        <w:t xml:space="preserve"> pay interest. This is because the prohibition on interest payments in the GENIUS Act applies specifically to "payment stablecoin issuers," not necessarily to traditional banks issuing tokenized deposits under existing frameworks.</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This allows banks to "reclaim this money" and strategically "trap liquidity" within their networks </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leveraging their existing regulatory advantages and public trust to offer competitive digital money products. This could lead to a two-tiered digital money system, with non-bank stablecoins focused on payment efficiency and bank-issued digital money offering both payment utility and yield.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Table 1: Payment Stablecoins vs. Traditional Money: A Comparative Analysis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Payment Stablecoins (Fiat-backed)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Traditional Bank Deposits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Physical Cash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Money Market Funds (MMFs)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Digital asset for payment/settlement, pegged to fiat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Digital representation of fiat, held at regulated banks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Physical currency issued by central 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Investment product, invests in short-term debt </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Issuer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Private entities (crypto-firms, fintechs, banks)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Regulated commercial banks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Central 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Fund managers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Backing/Reserves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1:1 with fiat (cash, T-bills, MMFs in segregated accounts) </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Fractional reserve, backed by central bank money/assets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Sovereign guarantee, no specific backing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Short-term, high-quality debt instruments </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Pegging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Arbitrage, redemption, reserve management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Central bank policy, deposit insurance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 (inherent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NAV stability (target $1.00) </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Settlement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Near-instant (on-chain, 24/7/365)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T+0/T+1 (legacy rails), real-time payments emerging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Instant (physical exchange)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T+1/T+2 (for redemption)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Regulatory Oversight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Evolving (e.g., GENIUS Act, MiCA)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Comprehensive (banking supervision, central 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Central 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SEC-regulated (e.g., Rule 2a-7)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Deposit Insurance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 federal insurance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 (e.g., FDIC, up to 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 federal insurance </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Singleness of Money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Vulnerable; issuer-specific liability, potential for de-peg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Guaranteed; central bank settlement ensures par value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Guaranteed; universally accepted at par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Vulnerable; "break-the-buck" risk </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Elasticity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Limited; requires full upfront payment for issuance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High; credit creation by commercial banks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Limited; cannot expand credit elastically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Integrity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Weaknesses; prone to KYC/AML bypass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Strong; KYC/AML enforced by intermediaries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Vulnerable; illicit use, hard to trace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Strong; KYC/AML enforced by intermediaries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Interest/Yield on Holdings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Generally prohibited by GENIUS Act (for holding)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 (on deposits, 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 (on investments)</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3. Sources of Growth: Reshaping Capital Flows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rapid growth of payment stablecoins is not occurring in isolation but is actively reshaping capital flows within the broader financial ecosystem. Their expansion is drawing capital from traditional financial instruments, particularly money market funds, bank deposits, and even displacing physical cash, driven by a combination of efficiency gains and evolving investor preferences.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Competition with Money Market Funds (MMFs)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Payment stablecoins issued by nonbanks exhibit economic similarities to Money Market Funds (MMFs).</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Both asset classes are designed to offer investors stable, money-like assets that maintain a stable nominal rate, and both achieve this by engaging in liquidity transformation – providing liquid liabilities backed by potentially less liquid assets.</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 This structural resemblance makes both stablecoins and MMFs susceptible to "runs" during periods of financial stress, where investors may rush to redeem their holdings due to concerns about the quality or liquidity of the underlying reserves.</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Major stablecoins like Tether (USDT) and USDC, for instance, maintain reserves in traditional financial assets, mirroring the investment strategies of MMFs, albeit with varying degrees of transparency regarding their specific investments.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Despite these structural similarities, stablecoins and MMFs demonstrate distinct responses to different market shocks. Negative shocks originating from the cryptocurrency market significantly impact stablecoins, leading to substantial drops in their market capitalization. Conversely, these crypto-specific shocks are largely "inconsequential" for MMFs and the broader traditional financial markets.</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This indicates that stablecoins, as a whole, do not currently function as a "safe-haven" against crypto-specific volatility.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contrast, contractionary U.S. monetary policy shocks, such as interest rate hikes, lead to contrasting effects. Prime MMF assets tend to </w:t>
      </w:r>
      <w:r w:rsidDel="00000000" w:rsidR="00000000" w:rsidRPr="00000000">
        <w:rPr>
          <w:rFonts w:ascii="Google Sans Text" w:cs="Google Sans Text" w:eastAsia="Google Sans Text" w:hAnsi="Google Sans Text"/>
          <w:i w:val="1"/>
          <w:color w:val="1b1c1d"/>
          <w:sz w:val="24"/>
          <w:szCs w:val="24"/>
          <w:rtl w:val="0"/>
        </w:rPr>
        <w:t xml:space="preserve">rise</w:t>
      </w:r>
      <w:r w:rsidDel="00000000" w:rsidR="00000000" w:rsidRPr="00000000">
        <w:rPr>
          <w:rFonts w:ascii="Google Sans Text" w:cs="Google Sans Text" w:eastAsia="Google Sans Text" w:hAnsi="Google Sans Text"/>
          <w:i w:val="0"/>
          <w:color w:val="1b1c1d"/>
          <w:sz w:val="24"/>
          <w:szCs w:val="24"/>
          <w:rtl w:val="0"/>
        </w:rPr>
        <w:t xml:space="preserve"> following such tightening, as higher policy rates make MMFs more attractive yield-bearing alternatives to bank deposits.</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This behavior positions MMFs as a traditional safe haven for yield-seeking capital. However, stablecoin market capitalization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1"/>
          <w:color w:val="1b1c1d"/>
          <w:sz w:val="24"/>
          <w:szCs w:val="24"/>
          <w:rtl w:val="0"/>
        </w:rPr>
        <w:t xml:space="preserve">declines significantly</w:t>
      </w:r>
      <w:r w:rsidDel="00000000" w:rsidR="00000000" w:rsidRPr="00000000">
        <w:rPr>
          <w:rFonts w:ascii="Google Sans Text" w:cs="Google Sans Text" w:eastAsia="Google Sans Text" w:hAnsi="Google Sans Text"/>
          <w:i w:val="0"/>
          <w:color w:val="1b1c1d"/>
          <w:sz w:val="24"/>
          <w:szCs w:val="24"/>
          <w:rtl w:val="0"/>
        </w:rPr>
        <w:t xml:space="preserve"> after monetary policy contractions.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This suggests that U.S. monetary policy acts as a "key nexus" between traditional and crypto markets, influencing stablecoin demand through its impact on overall crypto sentiment.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divergent responses of stablecoins and MMFs to monetary policy shocks reveal that, despite structural similarities, their underlying demand drivers are fundamentally different. MMFs primarily attract yield-seeking capital in a rising interest rate environment, serving as a traditional safe haven. Conversely, stablecoin demand is more intrinsically linked to the speculative activity and overall sentiment within the crypto ecosystem, which often suffers during monetary tightening. This indicates that stablecoins are not a perfect substitute for MMFs for all investor segments. This divergence suggests that the primary utility and demand for stablecoins, for a significant portion of their market, remain tied to the crypto trading and DeFi ecosystem. When monetary policy tightens, crypto prices typically fall, leading to a "bearish" market and reduced demand for stablecoins as the "settlement means in crypto markets".</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In contrast, MMFs, especially prime MMFs, are seen as attractive alternatives to bank deposits when policy rates rise, drawing in yield-sensitive capital from traditional finance.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This indicates a segmentation in the "safe asset" market based on the underlying motivations of the capital. This implies that stablecoins may not directly displace MMFs across the board but will instead carve out a distinct niche, primarily serving crypto-native users or those prioritizing instant, 24/7 settlement over yield. However, the influence of traditional monetary policy on stablecoin market capitalization highlights a growing interconnectedness between traditional and crypto markets, suggesting that macro-financial conditions will increasingly impact the digital asset space.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During periods of stress within crypto markets, a "flight-to-safety" dynamic is observed </w:t>
      </w:r>
      <w:r w:rsidDel="00000000" w:rsidR="00000000" w:rsidRPr="00000000">
        <w:rPr>
          <w:rFonts w:ascii="Google Sans Text" w:cs="Google Sans Text" w:eastAsia="Google Sans Text" w:hAnsi="Google Sans Text"/>
          <w:i w:val="1"/>
          <w:color w:val="1b1c1d"/>
          <w:sz w:val="24"/>
          <w:szCs w:val="24"/>
          <w:rtl w:val="0"/>
        </w:rPr>
        <w:t xml:space="preserve">within</w:t>
      </w:r>
      <w:r w:rsidDel="00000000" w:rsidR="00000000" w:rsidRPr="00000000">
        <w:rPr>
          <w:rFonts w:ascii="Google Sans Text" w:cs="Google Sans Text" w:eastAsia="Google Sans Text" w:hAnsi="Google Sans Text"/>
          <w:i w:val="0"/>
          <w:color w:val="1b1c1d"/>
          <w:sz w:val="24"/>
          <w:szCs w:val="24"/>
          <w:rtl w:val="0"/>
        </w:rPr>
        <w:t xml:space="preserve"> the stablecoin ecosystem, where capital flows from riskier stablecoins to those perceived as safer.</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 Redemptions for a stablecoin accelerate significantly if its price falls below a critical threshold (e.g., $0.99), similar to how investors react when an MMF "breaks the buck".</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 Notably, most stablecoins have historically not paid interest directly to holders, with issuers typically retaining the yield generated from investing their reserve assets.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However, the emergence of "yield-bearing stablecoins" and tokenized money market funds is beginning to address this "zero-yield" issue for idle balances, potentially increasing their attractiveness to a broader investor base.</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Impact on Bank Deposits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Payment stablecoins pose a direct competitive threat to traditional banks, with the potential to "eat away at banks' deposit base".</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When consumers or businesses acquire stablecoins by converting their bank deposits, the originating bank experiences a reduction in its retail deposits.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Retail deposits are a crucial and typically inexpensive source of stable funding for banks, enabling their lending activities.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A significant shift from retail deposits to stablecoins could therefore "dampen lending activity" in the broader economy.</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Even if stablecoin issuers are mandated to hold their reserves in regulated depository institutions, as proposed by the GENIUS Act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these funds, while returning to the banking system, transform from "sticky, inexpensive" retail deposits into "unsecured wholesale funding".</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Wholesale funding is generally more volatile and can negatively impact a bank's liquidity coverage ratio.</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A large-scale "run" on stablecoins could lead to rapid and substantial withdrawals of these wholesale funds from banks, posing significant liquidity and stability risks to the banking sector.</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The most significant implication for banks is not necessarily a net loss of funds, but 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1"/>
          <w:color w:val="1b1c1d"/>
          <w:sz w:val="24"/>
          <w:szCs w:val="24"/>
          <w:rtl w:val="0"/>
        </w:rPr>
        <w:t xml:space="preserve">transformation of their liability structure</w:t>
      </w:r>
      <w:r w:rsidDel="00000000" w:rsidR="00000000" w:rsidRPr="00000000">
        <w:rPr>
          <w:rFonts w:ascii="Google Sans Text" w:cs="Google Sans Text" w:eastAsia="Google Sans Text" w:hAnsi="Google Sans Text"/>
          <w:i w:val="0"/>
          <w:color w:val="1b1c1d"/>
          <w:sz w:val="24"/>
          <w:szCs w:val="24"/>
          <w:rtl w:val="0"/>
        </w:rPr>
        <w:t xml:space="preserve">. When retail deposits convert to stablecoins, and those stablecoin reserves are held at banks, the bank's funding shifts from "sticky, inexpensive" retail deposits (often insured) to "unsecured wholesale funding" from a single, large institutional client (the stablecoin issuer).</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This implies a qualitative deterioration of the bank's funding profile, increasing its vulnerability to large, sudden withdrawals and potentially impacting its liquidity coverage ratio. This transformation necessitates a re-evaluation of prudential regulations for banks. Regulators must consider how to apply capital and liquidity requirements to banks that increasingly rely on stablecoin reserves as a funding source. It also highlights the need for banks to develop robust liquidity management strategies to mitigate the risks associated with potential rapid withdrawals by stablecoin issuers, as exemplified by Circle's attempt to withdraw funds from Silicon Valley Bank in 2023.</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Furthermore, stablecoin issuers, rather than the banks holding their reserves, typically earn the yield on the underlying safe assets (e.g., U.S. Treasury securities) that back the stablecoins.</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This undermines a traditional and significant source of banking revenue: the interest earned on customer deposits.</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The growing market for "yield-bearing stablecoins" further highlights this competitive pressure.</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Despite these challenges, stablecoins also present significant opportunities for banks. Banks can strategically counter the threat to their deposit base and "reclaim this money" by issuing their own stablecoins or "tokenized deposits".</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This allows them to capture the yield on reserves and "trap liquidity within their own networks," thereby creating new revenue engines.</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Momentum is building, with several major banks actively exploring or launching their own digital currency initiatives. Examples include J.P. Morgan's JPM Coin, used by corporate clients for internal transfers, Signature Bank's Signet for institutional money movement, Banking Circle's EURI, ANZ Bank's AUD-pegged stablecoin for real-time pension payments, and Wells Fargo's piloted proprietary digital cash system.</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The GENIUS Act is designed to "carve out a competitive niche for banks," enabling them to issue their own stablecoins or tokenized deposits that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1"/>
          <w:color w:val="1b1c1d"/>
          <w:sz w:val="24"/>
          <w:szCs w:val="24"/>
          <w:rtl w:val="0"/>
        </w:rPr>
        <w:t xml:space="preserve">could</w:t>
      </w:r>
      <w:r w:rsidDel="00000000" w:rsidR="00000000" w:rsidRPr="00000000">
        <w:rPr>
          <w:rFonts w:ascii="Google Sans Text" w:cs="Google Sans Text" w:eastAsia="Google Sans Text" w:hAnsi="Google Sans Text"/>
          <w:i w:val="0"/>
          <w:color w:val="1b1c1d"/>
          <w:sz w:val="24"/>
          <w:szCs w:val="24"/>
          <w:rtl w:val="0"/>
        </w:rPr>
        <w:t xml:space="preserve"> pay interest, leveraging their existing regulatory advantages.</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Banks possess inherent advantages in terms of regulatory strength and public trust, which are crucial for providing stability and guardrails in the nascent stablecoin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Embracing stablecoins can also accelerate fintech integrations, requiring banks to modernize core systems to support tokenized payments and on-chain settlement, thereby attracting a younger, digitally native audience and opening new revenue models.</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3.3. Displacement of Physical Cash and Digital Convenience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Stablecoins are emerging as a viable digital alternative to physical cash, driven by their inherent digital convenience and efficiency. The utility of a blockchain-based representation of fiat currency is evident in its ability to move across a global network with significantly reduced time and cost compared to traditional transfers.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This inherent digital nature aligns with the broader trend towards a cashless economy, observed globally with declining cash usage for in-person transactions in regions like the Euro area.</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current supply of stablecoins is already equal to just under 10% of U.S. currency in circulation, with a total stablecoin supply of $247 billion as of May 2025.</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While stablecoin holdings are not counted as currency in circulation (which refers solely to physical cash), their rapidly growing size suggests their potential as an alternative to cash and other payment methods.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Proponents highlight stablecoins' ability to compete with credit cards, bank transfers, and mobile payments due to faster settlement and lower fees, particularly for cross-border transactions.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In retail payments and micro-transactions, stablecoins offer practically no transaction fees (often only a few cents) and settle instantly without the risk of chargebacks.</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This contrasts sharply with the substantial card processing fees merchants incur annually (e.g., $187 billion in the U.S. in 2024), a significant portion of which could be eliminated through stablecoin adoption.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Companies like Shopify have already integrated USDC payments, offering rebates to users and eliminating international transaction fees.</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Visa also reported $710 billion in stablecoin transaction volume in March 2025, approaching its traditional card volumes.</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Major retailers like Amazon and Walmart are reportedly considering their own stablecoins to cut costs and enhance loyalty programs.</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Stablecoins are also transforming B2B cross-border payments, reducing transaction times from days to under an hour, with 24/7 availability and lower fees.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They enable instant payouts to global merchants, improving cash flow through immediate transparency and real-time transaction tracking.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individuals, especially in regions with high inflation or tight capital controls, dollar-backed stablecoins offer a lifeline, providing a stable way to protect savings and access global commerce.</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 They facilitate faster and more affordable remittances, benefiting migrant workers by offering instant transactions with low costs, without the price volatility common in other cryptocurrencies.</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This digital convenience and efficiency are key drivers for their increasing adoption as a payment alternative, contributing to the broader trend of a cashless and more interconnected global economy.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4. Implications for Financial System Stability and Safe Asset Demand</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rapid growth and increasing integration of payment stablecoins into the financial landscape carry significant implications for financial system stability and the dynamics of safe asset demand. Their substantial holdings of short-term U.S. government debt position them as influential players in the Treasury markets, raising questions about their potential impact on yields and broader systemic risks.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Stablecoins have already established themselves as significant players in Treasury markets. As of March 2025, the combined assets under management of dollar-backed stablecoins exceeded $200 billion, surpassing the short-term U.S. securities holdings of many major foreign investors.</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In 2024 alone, stablecoin issuers purchased $40 billion of U.S. Treasury bills, a volume comparable to the largest U.S. government money market funds and exceeding most foreign purchases.</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This growing demand from stablecoin reserves could become a significant new source of demand for short-term U.S. government debt, potentially leading to a steeper yield curve with increased demand at the front end.</w:t>
      </w:r>
      <w:r w:rsidDel="00000000" w:rsidR="00000000" w:rsidRPr="00000000">
        <w:rPr>
          <w:rFonts w:ascii="Google Sans Text" w:cs="Google Sans Text" w:eastAsia="Google Sans Text" w:hAnsi="Google Sans Text"/>
          <w:i w:val="0"/>
          <w:color w:val="575b5f"/>
          <w:sz w:val="24"/>
          <w:szCs w:val="24"/>
          <w:vertAlign w:val="superscript"/>
          <w:rtl w:val="0"/>
        </w:rPr>
        <w:t xml:space="preserve">32</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Research indicates a measurable impact of stablecoin flows on short-term U.S. Treasury yields. Inflows into stablecoins tend to reduce three-month U.S. Treasury yields by 2–2.5 basis points within 10 days.</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Conversely, outflows from stablecoins can have a larger and asymmetric impact, raising yields by 6–8 basis points, suggesting that outflows exert two to three times the upward pressure on yields compared to the downward pressure from inflows.</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These effects are concentrated in short-term Treasury securities, with limited to no spillovers to longer-term maturities.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Tether (USDT) and Circle (USDC), given their relative market sizes, contribute the most to these observed effects.</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These findings highlight stablecoins' growing footprint in safe asset markets, with implications for monetary policy transmission and the transparency of stablecoin reserves, particularly during periods of market stress.</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Despite their perceived stability, stablecoins introduce several systemic risks. Their resemblance to "shadow money" and their perceived safety can create a false sense of security, which could rapidly turn into panic if their convertibility into cash becomes widely doubted or is broken, leading to scenarios akin to bank runs or currency peg failures.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The May 2022 collapse of the TerraUSD stablecoin, which resulted in a $40 billion market value wipeout due to fears about its backing and redemption, serves as a stark reminder of these vulnerabilities.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current market is highly concentrated, with two issuers accounting for 90% of the market capitalization.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This concentration, combined with the potential for rapid growth, raises concerns about systemic risk, where the failure or distress of a single large issuer could adversely affect financial stability and the real economy.</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Such concentration could also lead to an excessive concentration of economic power, analogous to the traditional concerns associated with the mixing of banking and commerce, potentially impacting competition.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Furthermore, stablecoins present liquidity mismatch risks. While issuers promise redemption on demand, their ability to meet such requests hinges on the safety and liquidity of their reserve assets.</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A run on a stablecoin could force issuers into a "fire sale" of their backing assets, potentially impacting short-term bond yields and government borrowing costs. This could result in unpredictable spillover effects by suddenly depressing the price of sovereign debt instruments widely used as collateral and liquidity in the conventional financial system.</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The growing ties between stablecoins and the traditional financial system thus pose risks to financial integrity and stability.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role of regulation in mitigating these systemic risks is paramount. Policymakers are actively considering regulatory frameworks that mirror the credit and liquidity safeguards applied to money market funds.</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Better data and monitoring of stablecoins, as well as their holdings by conventional financial institutions, are crucial for clarifying the extent of risk they pose to financial stability and for informing necessary actions.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The Financial Stability Board (FSB) has warned that while not yet widely problematic, stablecoins have grown rapidly, are used internationally, and can quickly scale up, posing a potential future threat.</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The BIS advocates for a "more restrictive regime" for stablecoins than in traditional finance, given that many entities within the stablecoin ecosystem operate without established safeguards.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Proactive, risk-based safeguards are essential not only to protect investors and preserve financial stability but also to foster responsible growth in the digital asset space.</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5. Outlook and Recommendations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trajectory of payment stablecoins suggests a continued expansion and deeper integration into the global financial system, driven by their inherent efficiencies in payments and remittances. The market is poised for significant growth, with projections indicating a multi-trillion-dollar valuation in the coming years. This growth will be increasingly shaped by evolving regulatory frameworks, particularly the GENIUS Act in the U.S. and MiCA in Europe, which are providing much-needed clarity and legitimacy to the sector.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financial institutions, the outlook presents both competitive challenges and strategic opportunities. Stablecoins will continue to exert pressure on traditional bank deposits and money market funds, compelling these established entities to adapt their offerings to remain competitive. The qualitative shift in bank funding from "sticky" retail deposits to more volatile wholesale funding from stablecoin reserves necessitates a re-evaluation of liquidity management and prudential risk frameworks.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However, the regulatory landscape, particularly the prohibition on interest payments for non-bank stablecoin issuers under the GENIUS Act, creates a distinct avenue for traditional banks. By issuing their own tokenized deposits or bank-backed stablecoins, financial institutions can leverage their existing trust, regulatory compliance, and ability to offer interest to retain and attract digital liquidity. This approach allows banks to participate actively in the digital money ecosystem, transforming a potential threat into a new revenue stream and reinforcing their central role in financial intermediation.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Investment Implications and Risk Considerations for Financial Institutions:</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Strategic Investment in Digital Infrastructure:</w:t>
      </w:r>
      <w:r w:rsidDel="00000000" w:rsidR="00000000" w:rsidRPr="00000000">
        <w:rPr>
          <w:rFonts w:ascii="Google Sans Text" w:cs="Google Sans Text" w:eastAsia="Google Sans Text" w:hAnsi="Google Sans Text"/>
          <w:i w:val="0"/>
          <w:color w:val="1b1c1d"/>
          <w:sz w:val="24"/>
          <w:szCs w:val="24"/>
          <w:rtl w:val="0"/>
        </w:rPr>
        <w:t xml:space="preserve"> Financial institutions should prioritize investments in blockchain-native infrastructure, including custody solutions, on-chain settlement capabilities, and API-ready systems that support tokenized payments. This modernization is crucial for integrating stablecoins effectively and offering competitive digital services.</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Exploration of Bank-Issued Stablecoins/Tokenized Deposits:</w:t>
      </w:r>
      <w:r w:rsidDel="00000000" w:rsidR="00000000" w:rsidRPr="00000000">
        <w:rPr>
          <w:rFonts w:ascii="Google Sans Text" w:cs="Google Sans Text" w:eastAsia="Google Sans Text" w:hAnsi="Google Sans Text"/>
          <w:i w:val="0"/>
          <w:color w:val="1b1c1d"/>
          <w:sz w:val="24"/>
          <w:szCs w:val="24"/>
          <w:rtl w:val="0"/>
        </w:rPr>
        <w:t xml:space="preserve"> Banks should actively explore and develop their own stablecoin or tokenized deposit offerings. This strategy allows them to capture the yield on underlying reserves, maintain control over liquidity, and cater to the growing demand for digital, programmable money within a regulated environment.</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Enhanced Liquidity and Risk Management:</w:t>
      </w:r>
      <w:r w:rsidDel="00000000" w:rsidR="00000000" w:rsidRPr="00000000">
        <w:rPr>
          <w:rFonts w:ascii="Google Sans Text" w:cs="Google Sans Text" w:eastAsia="Google Sans Text" w:hAnsi="Google Sans Text"/>
          <w:i w:val="0"/>
          <w:color w:val="1b1c1d"/>
          <w:sz w:val="24"/>
          <w:szCs w:val="24"/>
          <w:rtl w:val="0"/>
        </w:rPr>
        <w:t xml:space="preserve"> Given the potential for rapid capital flows and the transformation of deposit bases into more volatile wholesale funding, financial institutions must enhance their liquidity and risk management frameworks. This includes stress testing scenarios involving large-scale stablecoin redemptions and ensuring robust real-time monitoring of reserve assets.</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Focus on Cross-Border and B2B Payments:</w:t>
      </w:r>
      <w:r w:rsidDel="00000000" w:rsidR="00000000" w:rsidRPr="00000000">
        <w:rPr>
          <w:rFonts w:ascii="Google Sans Text" w:cs="Google Sans Text" w:eastAsia="Google Sans Text" w:hAnsi="Google Sans Text"/>
          <w:i w:val="0"/>
          <w:color w:val="1b1c1d"/>
          <w:sz w:val="24"/>
          <w:szCs w:val="24"/>
          <w:rtl w:val="0"/>
        </w:rPr>
        <w:t xml:space="preserve"> Stablecoins' most immediate and compelling value proposition lies in cross-border and B2B payments, offering significant cost and speed advantages. Financial institutions should focus on developing solutions that leverage stablecoins to streamline these high-friction areas, potentially through partnerships with existing stablecoin issuers or fintechs.</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Regulatory Engagement and Compliance:</w:t>
      </w:r>
      <w:r w:rsidDel="00000000" w:rsidR="00000000" w:rsidRPr="00000000">
        <w:rPr>
          <w:rFonts w:ascii="Google Sans Text" w:cs="Google Sans Text" w:eastAsia="Google Sans Text" w:hAnsi="Google Sans Text"/>
          <w:i w:val="0"/>
          <w:color w:val="1b1c1d"/>
          <w:sz w:val="24"/>
          <w:szCs w:val="24"/>
          <w:rtl w:val="0"/>
        </w:rPr>
        <w:t xml:space="preserve"> Active engagement with evolving regulatory frameworks is paramount. Financial institutions must ensure their stablecoin strategies are fully compliant with new legislation like the GENIUS Act and international standards, prioritizing robust AML/KYC programs and technological capabilities for transaction monitoring and control.</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Policy Recommendations for Fostering Innovation while Ensuring Stability:</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Harmonized Global Regulatory Frameworks:</w:t>
      </w:r>
      <w:r w:rsidDel="00000000" w:rsidR="00000000" w:rsidRPr="00000000">
        <w:rPr>
          <w:rFonts w:ascii="Google Sans Text" w:cs="Google Sans Text" w:eastAsia="Google Sans Text" w:hAnsi="Google Sans Text"/>
          <w:i w:val="0"/>
          <w:color w:val="1b1c1d"/>
          <w:sz w:val="24"/>
          <w:szCs w:val="24"/>
          <w:rtl w:val="0"/>
        </w:rPr>
        <w:t xml:space="preserve"> International cooperation among regulators is essential to address the borderless nature of stablecoins and prevent regulatory arbitrage. Harmonized standards for reserve requirements, auditing, and oversight can foster trust and facilitate legitimate cross-border use cases.</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Clear Guidelines for Bank-Issued Digital Money:</w:t>
      </w:r>
      <w:r w:rsidDel="00000000" w:rsidR="00000000" w:rsidRPr="00000000">
        <w:rPr>
          <w:rFonts w:ascii="Google Sans Text" w:cs="Google Sans Text" w:eastAsia="Google Sans Text" w:hAnsi="Google Sans Text"/>
          <w:i w:val="0"/>
          <w:color w:val="1b1c1d"/>
          <w:sz w:val="24"/>
          <w:szCs w:val="24"/>
          <w:rtl w:val="0"/>
        </w:rPr>
        <w:t xml:space="preserve"> Regulators should provide clear and consistent guidelines for traditional banks to issue tokenized deposits or stablecoins under existing prudential frameworks. This would encourage responsible innovation within the regulated financial system, leveraging banks' inherent stability and consumer protection mechanisms.</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Continued Monitoring of Systemic Risks:</w:t>
      </w:r>
      <w:r w:rsidDel="00000000" w:rsidR="00000000" w:rsidRPr="00000000">
        <w:rPr>
          <w:rFonts w:ascii="Google Sans Text" w:cs="Google Sans Text" w:eastAsia="Google Sans Text" w:hAnsi="Google Sans Text"/>
          <w:i w:val="0"/>
          <w:color w:val="1b1c1d"/>
          <w:sz w:val="24"/>
          <w:szCs w:val="24"/>
          <w:rtl w:val="0"/>
        </w:rPr>
        <w:t xml:space="preserve"> Ongoing, granular monitoring of stablecoin market capitalization, reserve composition, and transaction volumes is crucial. Regulators should assess potential systemic risks, including concentration risk and liquidity mismatches, and be prepared to implement additional safeguards if stablecoins grow to a size that poses a significant threat to financial stability.</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Promote Interoperability and Competition:</w:t>
      </w:r>
      <w:r w:rsidDel="00000000" w:rsidR="00000000" w:rsidRPr="00000000">
        <w:rPr>
          <w:rFonts w:ascii="Google Sans Text" w:cs="Google Sans Text" w:eastAsia="Google Sans Text" w:hAnsi="Google Sans Text"/>
          <w:i w:val="0"/>
          <w:color w:val="1b1c1d"/>
          <w:sz w:val="24"/>
          <w:szCs w:val="24"/>
          <w:rtl w:val="0"/>
        </w:rPr>
        <w:t xml:space="preserve"> Policy should encourage interoperability among different stablecoin networks and with traditional payment systems. This fosters competition, reduces fragmentation, and ensures that users are not locked into proprietary ecosystems, thereby enhancing overall market efficiency and resilience.</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Address Illicit Finance Concerns:</w:t>
      </w:r>
      <w:r w:rsidDel="00000000" w:rsidR="00000000" w:rsidRPr="00000000">
        <w:rPr>
          <w:rFonts w:ascii="Google Sans Text" w:cs="Google Sans Text" w:eastAsia="Google Sans Text" w:hAnsi="Google Sans Text"/>
          <w:i w:val="0"/>
          <w:color w:val="1b1c1d"/>
          <w:sz w:val="24"/>
          <w:szCs w:val="24"/>
          <w:rtl w:val="0"/>
        </w:rPr>
        <w:t xml:space="preserve"> While stablecoins offer efficiencies, their potential for illicit use remains a concern. Regulators should continue to work with industry to develop innovative methods for detecting and preventing illicit activity, leveraging blockchain analytics while balancing privacy considerations.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conclusion, payment stablecoins are not merely a fleeting trend but a fundamental shift in how value can be stored, transferred, and settled. While they present novel challenges to the existing financial order, particularly concerning the nature of money and systemic stability, they also offer transformative opportunities for efficiency and inclusion. The ongoing interplay between market innovation and regulatory development will determine the ultimate shape and impact of stablecoins, underscoring the need for strategic foresight and adaptive policy responses from all stakeholders in the financial ecosystem.</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Stablecoins | Advisories - Arnold &amp; Porter, accessed July 12, 2025, </w:t>
      </w:r>
      <w:hyperlink r:id="rId6">
        <w:r w:rsidDel="00000000" w:rsidR="00000000" w:rsidRPr="00000000">
          <w:rPr>
            <w:rFonts w:ascii="Google Sans" w:cs="Google Sans" w:eastAsia="Google Sans" w:hAnsi="Google Sans"/>
            <w:color w:val="0000ee"/>
            <w:sz w:val="24"/>
            <w:szCs w:val="24"/>
            <w:u w:val="single"/>
            <w:rtl w:val="0"/>
          </w:rPr>
          <w:t xml:space="preserve">https://www.arnoldporter.com/en/perspectives/advisories/2025/05/an-introduction-to-stablecoins</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Stablecoins 101: A Payments Professional's Guide to Fiat-Backed Crypto | Fireblocks, accessed July 12, 2025, </w:t>
      </w:r>
      <w:hyperlink r:id="rId7">
        <w:r w:rsidDel="00000000" w:rsidR="00000000" w:rsidRPr="00000000">
          <w:rPr>
            <w:rFonts w:ascii="Google Sans" w:cs="Google Sans" w:eastAsia="Google Sans" w:hAnsi="Google Sans"/>
            <w:color w:val="0000ee"/>
            <w:sz w:val="24"/>
            <w:szCs w:val="24"/>
            <w:u w:val="single"/>
            <w:rtl w:val="0"/>
          </w:rPr>
          <w:t xml:space="preserve">https://www.fireblocks.com/report/stablecoins-101/</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 Legislation: An Overview of S. 919, GENIUS Act of 2025 | Congress.gov, accessed July 12, 2025, </w:t>
      </w:r>
      <w:hyperlink r:id="rId8">
        <w:r w:rsidDel="00000000" w:rsidR="00000000" w:rsidRPr="00000000">
          <w:rPr>
            <w:rFonts w:ascii="Google Sans" w:cs="Google Sans" w:eastAsia="Google Sans" w:hAnsi="Google Sans"/>
            <w:color w:val="0000ee"/>
            <w:sz w:val="24"/>
            <w:szCs w:val="24"/>
            <w:u w:val="single"/>
            <w:rtl w:val="0"/>
          </w:rPr>
          <w:t xml:space="preserve">https://www.congress.gov/crs-product/IN12522</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 Legislation Clears Senate; Awaits Final Action in the House | 07, accessed July 12, 2025, </w:t>
      </w:r>
      <w:hyperlink r:id="rId9">
        <w:r w:rsidDel="00000000" w:rsidR="00000000" w:rsidRPr="00000000">
          <w:rPr>
            <w:rFonts w:ascii="Google Sans" w:cs="Google Sans" w:eastAsia="Google Sans" w:hAnsi="Google Sans"/>
            <w:color w:val="0000ee"/>
            <w:sz w:val="24"/>
            <w:szCs w:val="24"/>
            <w:u w:val="single"/>
            <w:rtl w:val="0"/>
          </w:rPr>
          <w:t xml:space="preserve">https://www.debevoise.com/insights/publications/2025/07/genius-act-progresses-in-congress-as-stablecoin</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Stablecoins are trending, but what frictions and risks are getting overlooked?, accessed July 12, 2025, </w:t>
      </w:r>
      <w:hyperlink r:id="rId10">
        <w:r w:rsidDel="00000000" w:rsidR="00000000" w:rsidRPr="00000000">
          <w:rPr>
            <w:rFonts w:ascii="Google Sans" w:cs="Google Sans" w:eastAsia="Google Sans" w:hAnsi="Google Sans"/>
            <w:color w:val="0000ee"/>
            <w:sz w:val="24"/>
            <w:szCs w:val="24"/>
            <w:u w:val="single"/>
            <w:rtl w:val="0"/>
          </w:rPr>
          <w:t xml:space="preserve">https://www.atlanticcouncil.org/blogs/econographics/stablecoins-are-trending-but-what-frictions-and-risks-are-getting-overlooked/</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BIS Says Stablecoins Require 'More Restrictive Regime' Than Traditional Finance, accessed July 12, 2025, </w:t>
      </w:r>
      <w:hyperlink r:id="rId11">
        <w:r w:rsidDel="00000000" w:rsidR="00000000" w:rsidRPr="00000000">
          <w:rPr>
            <w:rFonts w:ascii="Google Sans" w:cs="Google Sans" w:eastAsia="Google Sans" w:hAnsi="Google Sans"/>
            <w:color w:val="0000ee"/>
            <w:sz w:val="24"/>
            <w:szCs w:val="24"/>
            <w:u w:val="single"/>
            <w:rtl w:val="0"/>
          </w:rPr>
          <w:t xml:space="preserve">https://www.pymnts.com/cryptocurrency/2025/bis-says-stablecoins-require-more-restrictive-regime-than-traditional-finance/</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 supply is growing fast. Here's how it compares to cash. | Morningstar, accessed July 12, 2025, </w:t>
      </w:r>
      <w:hyperlink r:id="rId12">
        <w:r w:rsidDel="00000000" w:rsidR="00000000" w:rsidRPr="00000000">
          <w:rPr>
            <w:rFonts w:ascii="Google Sans" w:cs="Google Sans" w:eastAsia="Google Sans" w:hAnsi="Google Sans"/>
            <w:color w:val="0000ee"/>
            <w:sz w:val="24"/>
            <w:szCs w:val="24"/>
            <w:u w:val="single"/>
            <w:rtl w:val="0"/>
          </w:rPr>
          <w:t xml:space="preserve">https://www.morningstar.com/news/marketwatch/20250611248/stablecoin-supply-is-growing-fast-heres-how-it-compares-to-cash</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stablecoins money? What does that mean for payments? - American Banker, accessed July 12, 2025, </w:t>
      </w:r>
      <w:hyperlink r:id="rId13">
        <w:r w:rsidDel="00000000" w:rsidR="00000000" w:rsidRPr="00000000">
          <w:rPr>
            <w:rFonts w:ascii="Google Sans" w:cs="Google Sans" w:eastAsia="Google Sans" w:hAnsi="Google Sans"/>
            <w:color w:val="0000ee"/>
            <w:sz w:val="24"/>
            <w:szCs w:val="24"/>
            <w:u w:val="single"/>
            <w:rtl w:val="0"/>
          </w:rPr>
          <w:t xml:space="preserve">https://www.americanbanker.com/opinion/are-stablecoins-money-what-does-that-mean-for-payments</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Merchant &amp; eCommerce Adoption of Stablecoins: A Lower-Cost Payment Paradigm | Transfi, accessed July 12, 2025, </w:t>
      </w:r>
      <w:hyperlink r:id="rId14">
        <w:r w:rsidDel="00000000" w:rsidR="00000000" w:rsidRPr="00000000">
          <w:rPr>
            <w:rFonts w:ascii="Google Sans" w:cs="Google Sans" w:eastAsia="Google Sans" w:hAnsi="Google Sans"/>
            <w:color w:val="0000ee"/>
            <w:sz w:val="24"/>
            <w:szCs w:val="24"/>
            <w:u w:val="single"/>
            <w:rtl w:val="0"/>
          </w:rPr>
          <w:t xml:space="preserve">https://www.transfi.com/blog/merchant-ecommerce-adoption-of-stablecoins-a-lower-cost-payment-paradigm</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Stablecoins &amp; Cross-Border Payments: What Banks Must Do, accessed July 12, 2025, </w:t>
      </w:r>
      <w:hyperlink r:id="rId15">
        <w:r w:rsidDel="00000000" w:rsidR="00000000" w:rsidRPr="00000000">
          <w:rPr>
            <w:rFonts w:ascii="Google Sans" w:cs="Google Sans" w:eastAsia="Google Sans" w:hAnsi="Google Sans"/>
            <w:color w:val="0000ee"/>
            <w:sz w:val="24"/>
            <w:szCs w:val="24"/>
            <w:u w:val="single"/>
            <w:rtl w:val="0"/>
          </w:rPr>
          <w:t xml:space="preserve">https://paymentscmi.com/insights/stablecoins-cross-border-payments-banks-strategy/</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case for and against retail giants like Amazon and Walmart getting into stablecoins, accessed July 12, 2025, </w:t>
      </w:r>
      <w:hyperlink r:id="rId16">
        <w:r w:rsidDel="00000000" w:rsidR="00000000" w:rsidRPr="00000000">
          <w:rPr>
            <w:rFonts w:ascii="Google Sans" w:cs="Google Sans" w:eastAsia="Google Sans" w:hAnsi="Google Sans"/>
            <w:color w:val="0000ee"/>
            <w:sz w:val="24"/>
            <w:szCs w:val="24"/>
            <w:u w:val="single"/>
            <w:rtl w:val="0"/>
          </w:rPr>
          <w:t xml:space="preserve">https://www.modernretail.co/technology/the-case-for-and-against-retail-giants-like-amazon-and-walmart-getting-into-stablecoins/</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Stablecoins in 2025: The Strategic Playbook for Banks - TreasurUp, accessed July 12, 2025, </w:t>
      </w:r>
      <w:hyperlink r:id="rId17">
        <w:r w:rsidDel="00000000" w:rsidR="00000000" w:rsidRPr="00000000">
          <w:rPr>
            <w:rFonts w:ascii="Google Sans" w:cs="Google Sans" w:eastAsia="Google Sans" w:hAnsi="Google Sans"/>
            <w:color w:val="0000ee"/>
            <w:sz w:val="24"/>
            <w:szCs w:val="24"/>
            <w:u w:val="single"/>
            <w:rtl w:val="0"/>
          </w:rPr>
          <w:t xml:space="preserve">https://treasurup.com/stablecoins-strategic-playbook-banks-2025/</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Role of Stablecoins in the Global Financial System? - OSL, accessed July 12, 2025, </w:t>
      </w:r>
      <w:hyperlink r:id="rId18">
        <w:r w:rsidDel="00000000" w:rsidR="00000000" w:rsidRPr="00000000">
          <w:rPr>
            <w:rFonts w:ascii="Google Sans" w:cs="Google Sans" w:eastAsia="Google Sans" w:hAnsi="Google Sans"/>
            <w:color w:val="0000ee"/>
            <w:sz w:val="24"/>
            <w:szCs w:val="24"/>
            <w:u w:val="single"/>
            <w:rtl w:val="0"/>
          </w:rPr>
          <w:t xml:space="preserve">https://www.osl.com/hk-en/academy/article/what-is-the-role-of-stablecoins-in-the-global-financial-system</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Banks line up to embrace stablecoins - American Banker, accessed July 12, 2025, </w:t>
      </w:r>
      <w:hyperlink r:id="rId19">
        <w:r w:rsidDel="00000000" w:rsidR="00000000" w:rsidRPr="00000000">
          <w:rPr>
            <w:rFonts w:ascii="Google Sans" w:cs="Google Sans" w:eastAsia="Google Sans" w:hAnsi="Google Sans"/>
            <w:color w:val="0000ee"/>
            <w:sz w:val="24"/>
            <w:szCs w:val="24"/>
            <w:u w:val="single"/>
            <w:rtl w:val="0"/>
          </w:rPr>
          <w:t xml:space="preserve">https://www.americanbanker.com/payments/list/big-banks-are-working-on-payment-stablecoins</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GENIUS Act: A New Federal Framework for Stablecoin Issuers, accessed July 12, 2025, </w:t>
      </w:r>
      <w:hyperlink r:id="rId20">
        <w:r w:rsidDel="00000000" w:rsidR="00000000" w:rsidRPr="00000000">
          <w:rPr>
            <w:rFonts w:ascii="Google Sans" w:cs="Google Sans" w:eastAsia="Google Sans" w:hAnsi="Google Sans"/>
            <w:color w:val="0000ee"/>
            <w:sz w:val="24"/>
            <w:szCs w:val="24"/>
            <w:u w:val="single"/>
            <w:rtl w:val="0"/>
          </w:rPr>
          <w:t xml:space="preserve">https://www.pillsburylaw.com/en/news-and-insights/genius-act-stablecoin-issuers.html</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III. The next-generation monetary and financial system - Bank for International Settlements, accessed July 12, 2025, </w:t>
      </w:r>
      <w:hyperlink r:id="rId21">
        <w:r w:rsidDel="00000000" w:rsidR="00000000" w:rsidRPr="00000000">
          <w:rPr>
            <w:rFonts w:ascii="Google Sans" w:cs="Google Sans" w:eastAsia="Google Sans" w:hAnsi="Google Sans"/>
            <w:color w:val="0000ee"/>
            <w:sz w:val="24"/>
            <w:szCs w:val="24"/>
            <w:u w:val="single"/>
            <w:rtl w:val="0"/>
          </w:rPr>
          <w:t xml:space="preserve">https://www.bis.org/publ/arpdf/ar2025e3.htm</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BIS sees a tokenized future but stablecoins as unsound money - Ledger Insights, accessed July 12, 2025, </w:t>
      </w:r>
      <w:hyperlink r:id="rId22">
        <w:r w:rsidDel="00000000" w:rsidR="00000000" w:rsidRPr="00000000">
          <w:rPr>
            <w:rFonts w:ascii="Google Sans" w:cs="Google Sans" w:eastAsia="Google Sans" w:hAnsi="Google Sans"/>
            <w:color w:val="0000ee"/>
            <w:sz w:val="24"/>
            <w:szCs w:val="24"/>
            <w:u w:val="single"/>
            <w:rtl w:val="0"/>
          </w:rPr>
          <w:t xml:space="preserve">https://www.ledgerinsights.com/bis-tokenized-future-stablecoins-as-unsound-money/</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on Stablecoins - Treasury, accessed July 12, 2025, </w:t>
      </w:r>
      <w:hyperlink r:id="rId23">
        <w:r w:rsidDel="00000000" w:rsidR="00000000" w:rsidRPr="00000000">
          <w:rPr>
            <w:rFonts w:ascii="Google Sans" w:cs="Google Sans" w:eastAsia="Google Sans" w:hAnsi="Google Sans"/>
            <w:color w:val="0000ee"/>
            <w:sz w:val="24"/>
            <w:szCs w:val="24"/>
            <w:u w:val="single"/>
            <w:rtl w:val="0"/>
          </w:rPr>
          <w:t xml:space="preserve">https://home.treasury.gov/system/files/136/StableCoinReport_Nov1_508.pdf</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ECB official pushes for digital euro to counter US stablecoins, accessed July 12, 2025, </w:t>
      </w:r>
      <w:hyperlink r:id="rId24">
        <w:r w:rsidDel="00000000" w:rsidR="00000000" w:rsidRPr="00000000">
          <w:rPr>
            <w:rFonts w:ascii="Google Sans" w:cs="Google Sans" w:eastAsia="Google Sans" w:hAnsi="Google Sans"/>
            <w:color w:val="0000ee"/>
            <w:sz w:val="24"/>
            <w:szCs w:val="24"/>
            <w:u w:val="single"/>
            <w:rtl w:val="0"/>
          </w:rPr>
          <w:t xml:space="preserve">https://dig.watch/updates/ecb-official-pushes-for-digital-euro-to-counter-us-stablecoins</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stablecoin race - Atlantic Council, accessed July 12, 2025, </w:t>
      </w:r>
      <w:hyperlink r:id="rId25">
        <w:r w:rsidDel="00000000" w:rsidR="00000000" w:rsidRPr="00000000">
          <w:rPr>
            <w:rFonts w:ascii="Google Sans" w:cs="Google Sans" w:eastAsia="Google Sans" w:hAnsi="Google Sans"/>
            <w:color w:val="0000ee"/>
            <w:sz w:val="24"/>
            <w:szCs w:val="24"/>
            <w:u w:val="single"/>
            <w:rtl w:val="0"/>
          </w:rPr>
          <w:t xml:space="preserve">https://www.atlanticcouncil.org/blogs/econographics/the-stablecoin-race/</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Banks can either get on board the stablecoin train, or get run over ..., accessed July 12, 2025, </w:t>
      </w:r>
      <w:hyperlink r:id="rId26">
        <w:r w:rsidDel="00000000" w:rsidR="00000000" w:rsidRPr="00000000">
          <w:rPr>
            <w:rFonts w:ascii="Google Sans" w:cs="Google Sans" w:eastAsia="Google Sans" w:hAnsi="Google Sans"/>
            <w:color w:val="0000ee"/>
            <w:sz w:val="24"/>
            <w:szCs w:val="24"/>
            <w:u w:val="single"/>
            <w:rtl w:val="0"/>
          </w:rPr>
          <w:t xml:space="preserve">https://www.americanbanker.com/opinion/banks-can-either-get-on-board-the-stablecoin-train-or-get-run-over</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Did you know payment stablecoins have similar run risks as money market funds?, accessed July 12, 2025, </w:t>
      </w:r>
      <w:hyperlink r:id="rId27">
        <w:r w:rsidDel="00000000" w:rsidR="00000000" w:rsidRPr="00000000">
          <w:rPr>
            <w:rFonts w:ascii="Google Sans" w:cs="Google Sans" w:eastAsia="Google Sans" w:hAnsi="Google Sans"/>
            <w:color w:val="0000ee"/>
            <w:sz w:val="24"/>
            <w:szCs w:val="24"/>
            <w:u w:val="single"/>
            <w:rtl w:val="0"/>
          </w:rPr>
          <w:t xml:space="preserve">https://bankingjournal.aba.com/2025/05/did-you-know-payment-stablecoins-have-similar-run-risks-as-money-market-funds/</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Runs and Flights to Safety: Are Stablecoins the New Money Market ..., accessed July 12, 2025, </w:t>
      </w:r>
      <w:hyperlink r:id="rId28">
        <w:r w:rsidDel="00000000" w:rsidR="00000000" w:rsidRPr="00000000">
          <w:rPr>
            <w:rFonts w:ascii="Google Sans" w:cs="Google Sans" w:eastAsia="Google Sans" w:hAnsi="Google Sans"/>
            <w:color w:val="0000ee"/>
            <w:sz w:val="24"/>
            <w:szCs w:val="24"/>
            <w:u w:val="single"/>
            <w:rtl w:val="0"/>
          </w:rPr>
          <w:t xml:space="preserve">https://www.bostonfed.org/publications/research-department-working-paper/2023/runs-and-flights-to-safety-are-stablecoins-the-new-money-market-funds.aspx</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Stablecoins and Monetary Policy - Econlib, accessed July 12, 2025, </w:t>
      </w:r>
      <w:hyperlink r:id="rId29">
        <w:r w:rsidDel="00000000" w:rsidR="00000000" w:rsidRPr="00000000">
          <w:rPr>
            <w:rFonts w:ascii="Google Sans" w:cs="Google Sans" w:eastAsia="Google Sans" w:hAnsi="Google Sans"/>
            <w:color w:val="0000ee"/>
            <w:sz w:val="24"/>
            <w:szCs w:val="24"/>
            <w:u w:val="single"/>
            <w:rtl w:val="0"/>
          </w:rPr>
          <w:t xml:space="preserve">https://www.econlib.org/stablecoins-and-monetary-policy/</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Stablecoins, money market funds and monetary policy - European Central Bank, accessed July 12, 2025, </w:t>
      </w:r>
      <w:hyperlink r:id="rId30">
        <w:r w:rsidDel="00000000" w:rsidR="00000000" w:rsidRPr="00000000">
          <w:rPr>
            <w:rFonts w:ascii="Google Sans" w:cs="Google Sans" w:eastAsia="Google Sans" w:hAnsi="Google Sans"/>
            <w:color w:val="0000ee"/>
            <w:sz w:val="24"/>
            <w:szCs w:val="24"/>
            <w:u w:val="single"/>
            <w:rtl w:val="0"/>
          </w:rPr>
          <w:t xml:space="preserve">https://www.ecb.europa.eu/pub/pdf/scpwps/ecb.wp2987~1919e51abf.en.pdf</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Stablecoins and money market funds: Less similar than you think - CEPR, accessed July 12, 2025, </w:t>
      </w:r>
      <w:hyperlink r:id="rId31">
        <w:r w:rsidDel="00000000" w:rsidR="00000000" w:rsidRPr="00000000">
          <w:rPr>
            <w:rFonts w:ascii="Google Sans" w:cs="Google Sans" w:eastAsia="Google Sans" w:hAnsi="Google Sans"/>
            <w:color w:val="0000ee"/>
            <w:sz w:val="24"/>
            <w:szCs w:val="24"/>
            <w:u w:val="single"/>
            <w:rtl w:val="0"/>
          </w:rPr>
          <w:t xml:space="preserve">https://cepr.org/voxeu/columns/stablecoins-and-money-market-funds-less-similar-you-think</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Stablecoins, money market funds and monetary policy - Bank for International Settlements, accessed July 12, 2025, </w:t>
      </w:r>
      <w:hyperlink r:id="rId32">
        <w:r w:rsidDel="00000000" w:rsidR="00000000" w:rsidRPr="00000000">
          <w:rPr>
            <w:rFonts w:ascii="Google Sans" w:cs="Google Sans" w:eastAsia="Google Sans" w:hAnsi="Google Sans"/>
            <w:color w:val="0000ee"/>
            <w:sz w:val="24"/>
            <w:szCs w:val="24"/>
            <w:u w:val="single"/>
            <w:rtl w:val="0"/>
          </w:rPr>
          <w:t xml:space="preserve">https://www.bis.org/publ/work1219.pdf</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the payments revolution to the reinvention of money - European Central Bank, accessed July 12, 2025, </w:t>
      </w:r>
      <w:hyperlink r:id="rId33">
        <w:r w:rsidDel="00000000" w:rsidR="00000000" w:rsidRPr="00000000">
          <w:rPr>
            <w:rFonts w:ascii="Google Sans" w:cs="Google Sans" w:eastAsia="Google Sans" w:hAnsi="Google Sans"/>
            <w:color w:val="0000ee"/>
            <w:sz w:val="24"/>
            <w:szCs w:val="24"/>
            <w:u w:val="single"/>
            <w:rtl w:val="0"/>
          </w:rPr>
          <w:t xml:space="preserve">https://www.ecb.europa.eu/press/key/date/2020/html/ecb.sp201127~a781c4e0fc.en.html</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stablecoins become money: Liquidity, sovereignty, and credit - a16z crypto, accessed July 12, 2025, </w:t>
      </w:r>
      <w:hyperlink r:id="rId34">
        <w:r w:rsidDel="00000000" w:rsidR="00000000" w:rsidRPr="00000000">
          <w:rPr>
            <w:rFonts w:ascii="Google Sans" w:cs="Google Sans" w:eastAsia="Google Sans" w:hAnsi="Google Sans"/>
            <w:color w:val="0000ee"/>
            <w:sz w:val="24"/>
            <w:szCs w:val="24"/>
            <w:u w:val="single"/>
            <w:rtl w:val="0"/>
          </w:rPr>
          <w:t xml:space="preserve">https://a16zcrypto.com/posts/article/how-stablecoins-become-money/</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 Cashless: The Rise of Stablecoins as Payment - CoinGeek, accessed July 12, 2025, </w:t>
      </w:r>
      <w:hyperlink r:id="rId35">
        <w:r w:rsidDel="00000000" w:rsidR="00000000" w:rsidRPr="00000000">
          <w:rPr>
            <w:rFonts w:ascii="Google Sans" w:cs="Google Sans" w:eastAsia="Google Sans" w:hAnsi="Google Sans"/>
            <w:color w:val="0000ee"/>
            <w:sz w:val="24"/>
            <w:szCs w:val="24"/>
            <w:u w:val="single"/>
            <w:rtl w:val="0"/>
          </w:rPr>
          <w:t xml:space="preserve">https://coingeek.com/bitcoin101/go-cashless-the-rise-of-stablecoins-as-payment/</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Stablecoins and safe asset prices - Bank for International Settlements, accessed July 12, 2025, </w:t>
      </w:r>
      <w:hyperlink r:id="rId36">
        <w:r w:rsidDel="00000000" w:rsidR="00000000" w:rsidRPr="00000000">
          <w:rPr>
            <w:rFonts w:ascii="Google Sans" w:cs="Google Sans" w:eastAsia="Google Sans" w:hAnsi="Google Sans"/>
            <w:color w:val="0000ee"/>
            <w:sz w:val="24"/>
            <w:szCs w:val="24"/>
            <w:u w:val="single"/>
            <w:rtl w:val="0"/>
          </w:rPr>
          <w:t xml:space="preserve">https://www.bis.org/publ/work1270.htm</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Stablecoins as a New Source of Demand for Treasuries - Apollo Academy, accessed July 12, 2025, </w:t>
      </w:r>
      <w:hyperlink r:id="rId37">
        <w:r w:rsidDel="00000000" w:rsidR="00000000" w:rsidRPr="00000000">
          <w:rPr>
            <w:rFonts w:ascii="Google Sans" w:cs="Google Sans" w:eastAsia="Google Sans" w:hAnsi="Google Sans"/>
            <w:color w:val="0000ee"/>
            <w:sz w:val="24"/>
            <w:szCs w:val="24"/>
            <w:u w:val="single"/>
            <w:rtl w:val="0"/>
          </w:rPr>
          <w:t xml:space="preserve">https://www.apolloacademy.com/stablecoins-as-a-new-source-of-demand-for-treasuries/</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Could Stablecoins Create Financial Instability? - Centre for International Governance Innovation (CIGI), accessed July 12, 2025, </w:t>
      </w:r>
      <w:hyperlink r:id="rId38">
        <w:r w:rsidDel="00000000" w:rsidR="00000000" w:rsidRPr="00000000">
          <w:rPr>
            <w:rFonts w:ascii="Google Sans" w:cs="Google Sans" w:eastAsia="Google Sans" w:hAnsi="Google Sans"/>
            <w:color w:val="0000ee"/>
            <w:sz w:val="24"/>
            <w:szCs w:val="24"/>
            <w:u w:val="single"/>
            <w:rtl w:val="0"/>
          </w:rPr>
          <w:t xml:space="preserve">https://www.cigionline.org/articles/could-stablecoins-create-financial-instability/</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quest for cheaper and faster cross-border payments: regional and global solutions - European Central Bank, accessed July 12, 2025, </w:t>
      </w:r>
      <w:hyperlink r:id="rId39">
        <w:r w:rsidDel="00000000" w:rsidR="00000000" w:rsidRPr="00000000">
          <w:rPr>
            <w:rFonts w:ascii="Google Sans" w:cs="Google Sans" w:eastAsia="Google Sans" w:hAnsi="Google Sans"/>
            <w:color w:val="0000ee"/>
            <w:sz w:val="24"/>
            <w:szCs w:val="24"/>
            <w:u w:val="single"/>
            <w:rtl w:val="0"/>
          </w:rPr>
          <w:t xml:space="preserve">https://www.ecb.europa.eu/press/key/date/2025/html/ecb.sp250627~de084f5b69.en.html</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Regulating the Crypto Ecosystem: The Case of Stablecoins and Arrangements - International Monetary Fund (IMF), accessed July 12, 2025, </w:t>
      </w:r>
      <w:hyperlink r:id="rId40">
        <w:r w:rsidDel="00000000" w:rsidR="00000000" w:rsidRPr="00000000">
          <w:rPr>
            <w:rFonts w:ascii="Google Sans" w:cs="Google Sans" w:eastAsia="Google Sans" w:hAnsi="Google Sans"/>
            <w:color w:val="0000ee"/>
            <w:sz w:val="24"/>
            <w:szCs w:val="24"/>
            <w:u w:val="single"/>
            <w:rtl w:val="0"/>
          </w:rPr>
          <w:t xml:space="preserve">https://www.imf.org/-/media/Files/Publications/FTN063/2022/English/FTNEA2022008.ashx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mf.org/-/media/Files/Publications/FTN063/2022/English/FTNEA2022008.ashx" TargetMode="External"/><Relationship Id="rId20" Type="http://schemas.openxmlformats.org/officeDocument/2006/relationships/hyperlink" Target="https://www.pillsburylaw.com/en/news-and-insights/genius-act-stablecoin-issuers.html" TargetMode="External"/><Relationship Id="rId22" Type="http://schemas.openxmlformats.org/officeDocument/2006/relationships/hyperlink" Target="https://www.ledgerinsights.com/bis-tokenized-future-stablecoins-as-unsound-money/" TargetMode="External"/><Relationship Id="rId21" Type="http://schemas.openxmlformats.org/officeDocument/2006/relationships/hyperlink" Target="https://www.bis.org/publ/arpdf/ar2025e3.htm" TargetMode="External"/><Relationship Id="rId24" Type="http://schemas.openxmlformats.org/officeDocument/2006/relationships/hyperlink" Target="https://dig.watch/updates/ecb-official-pushes-for-digital-euro-to-counter-us-stablecoins" TargetMode="External"/><Relationship Id="rId23" Type="http://schemas.openxmlformats.org/officeDocument/2006/relationships/hyperlink" Target="https://home.treasury.gov/system/files/136/StableCoinReport_Nov1_508.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bevoise.com/insights/publications/2025/07/genius-act-progresses-in-congress-as-stablecoin" TargetMode="External"/><Relationship Id="rId26" Type="http://schemas.openxmlformats.org/officeDocument/2006/relationships/hyperlink" Target="https://www.americanbanker.com/opinion/banks-can-either-get-on-board-the-stablecoin-train-or-get-run-over" TargetMode="External"/><Relationship Id="rId25" Type="http://schemas.openxmlformats.org/officeDocument/2006/relationships/hyperlink" Target="https://www.atlanticcouncil.org/blogs/econographics/the-stablecoin-race/" TargetMode="External"/><Relationship Id="rId28" Type="http://schemas.openxmlformats.org/officeDocument/2006/relationships/hyperlink" Target="https://www.bostonfed.org/publications/research-department-working-paper/2023/runs-and-flights-to-safety-are-stablecoins-the-new-money-market-funds.aspx" TargetMode="External"/><Relationship Id="rId27" Type="http://schemas.openxmlformats.org/officeDocument/2006/relationships/hyperlink" Target="https://bankingjournal.aba.com/2025/05/did-you-know-payment-stablecoins-have-similar-run-risks-as-money-market-funds/" TargetMode="External"/><Relationship Id="rId5" Type="http://schemas.openxmlformats.org/officeDocument/2006/relationships/styles" Target="styles.xml"/><Relationship Id="rId6" Type="http://schemas.openxmlformats.org/officeDocument/2006/relationships/hyperlink" Target="https://www.arnoldporter.com/en/perspectives/advisories/2025/05/an-introduction-to-stablecoins" TargetMode="External"/><Relationship Id="rId29" Type="http://schemas.openxmlformats.org/officeDocument/2006/relationships/hyperlink" Target="https://www.econlib.org/stablecoins-and-monetary-policy/" TargetMode="External"/><Relationship Id="rId7" Type="http://schemas.openxmlformats.org/officeDocument/2006/relationships/hyperlink" Target="https://www.fireblocks.com/report/stablecoins-101/" TargetMode="External"/><Relationship Id="rId8" Type="http://schemas.openxmlformats.org/officeDocument/2006/relationships/hyperlink" Target="https://www.congress.gov/crs-product/IN12522" TargetMode="External"/><Relationship Id="rId31" Type="http://schemas.openxmlformats.org/officeDocument/2006/relationships/hyperlink" Target="https://cepr.org/voxeu/columns/stablecoins-and-money-market-funds-less-similar-you-think" TargetMode="External"/><Relationship Id="rId30" Type="http://schemas.openxmlformats.org/officeDocument/2006/relationships/hyperlink" Target="https://www.ecb.europa.eu/pub/pdf/scpwps/ecb.wp2987~1919e51abf.en.pdf" TargetMode="External"/><Relationship Id="rId11" Type="http://schemas.openxmlformats.org/officeDocument/2006/relationships/hyperlink" Target="https://www.pymnts.com/cryptocurrency/2025/bis-says-stablecoins-require-more-restrictive-regime-than-traditional-finance/" TargetMode="External"/><Relationship Id="rId33" Type="http://schemas.openxmlformats.org/officeDocument/2006/relationships/hyperlink" Target="https://www.ecb.europa.eu/press/key/date/2020/html/ecb.sp201127~a781c4e0fc.en.html" TargetMode="External"/><Relationship Id="rId10" Type="http://schemas.openxmlformats.org/officeDocument/2006/relationships/hyperlink" Target="https://www.atlanticcouncil.org/blogs/econographics/stablecoins-are-trending-but-what-frictions-and-risks-are-getting-overlooked/" TargetMode="External"/><Relationship Id="rId32" Type="http://schemas.openxmlformats.org/officeDocument/2006/relationships/hyperlink" Target="https://www.bis.org/publ/work1219.pdf" TargetMode="External"/><Relationship Id="rId13" Type="http://schemas.openxmlformats.org/officeDocument/2006/relationships/hyperlink" Target="https://www.americanbanker.com/opinion/are-stablecoins-money-what-does-that-mean-for-payments" TargetMode="External"/><Relationship Id="rId35" Type="http://schemas.openxmlformats.org/officeDocument/2006/relationships/hyperlink" Target="https://coingeek.com/bitcoin101/go-cashless-the-rise-of-stablecoins-as-payment/" TargetMode="External"/><Relationship Id="rId12" Type="http://schemas.openxmlformats.org/officeDocument/2006/relationships/hyperlink" Target="https://www.morningstar.com/news/marketwatch/20250611248/stablecoin-supply-is-growing-fast-heres-how-it-compares-to-cash" TargetMode="External"/><Relationship Id="rId34" Type="http://schemas.openxmlformats.org/officeDocument/2006/relationships/hyperlink" Target="https://a16zcrypto.com/posts/article/how-stablecoins-become-money/" TargetMode="External"/><Relationship Id="rId15" Type="http://schemas.openxmlformats.org/officeDocument/2006/relationships/hyperlink" Target="https://paymentscmi.com/insights/stablecoins-cross-border-payments-banks-strategy/" TargetMode="External"/><Relationship Id="rId37" Type="http://schemas.openxmlformats.org/officeDocument/2006/relationships/hyperlink" Target="https://www.apolloacademy.com/stablecoins-as-a-new-source-of-demand-for-treasuries/" TargetMode="External"/><Relationship Id="rId14" Type="http://schemas.openxmlformats.org/officeDocument/2006/relationships/hyperlink" Target="https://www.transfi.com/blog/merchant-ecommerce-adoption-of-stablecoins-a-lower-cost-payment-paradigm" TargetMode="External"/><Relationship Id="rId36" Type="http://schemas.openxmlformats.org/officeDocument/2006/relationships/hyperlink" Target="https://www.bis.org/publ/work1270.htm" TargetMode="External"/><Relationship Id="rId17" Type="http://schemas.openxmlformats.org/officeDocument/2006/relationships/hyperlink" Target="https://treasurup.com/stablecoins-strategic-playbook-banks-2025/" TargetMode="External"/><Relationship Id="rId39" Type="http://schemas.openxmlformats.org/officeDocument/2006/relationships/hyperlink" Target="https://www.ecb.europa.eu/press/key/date/2025/html/ecb.sp250627~de084f5b69.en.html" TargetMode="External"/><Relationship Id="rId16" Type="http://schemas.openxmlformats.org/officeDocument/2006/relationships/hyperlink" Target="https://www.modernretail.co/technology/the-case-for-and-against-retail-giants-like-amazon-and-walmart-getting-into-stablecoins/" TargetMode="External"/><Relationship Id="rId38" Type="http://schemas.openxmlformats.org/officeDocument/2006/relationships/hyperlink" Target="https://www.cigionline.org/articles/could-stablecoins-create-financial-instability/" TargetMode="External"/><Relationship Id="rId19" Type="http://schemas.openxmlformats.org/officeDocument/2006/relationships/hyperlink" Target="https://www.americanbanker.com/payments/list/big-banks-are-working-on-payment-stablecoins" TargetMode="External"/><Relationship Id="rId18" Type="http://schemas.openxmlformats.org/officeDocument/2006/relationships/hyperlink" Target="https://www.osl.com/hk-en/academy/article/what-is-the-role-of-stablecoins-in-the-global-financial-syst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