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B3A5C"/>
          <w:sz w:val="36"/>
          <w:szCs w:val="36"/>
        </w:rPr>
        <w:t xml:space="preserve">TBHC0300 CheckOut Bilt Integration</w:t>
      </w:r>
    </w:p>
    <w:p>
      <w:pPr>
        <w:pBdr>
          <w:bottom w:val="single" w:color="1B3A5C" w:sz="6" w:space="8"/>
        </w:pBdr>
        <w:spacing w:after="400"/>
      </w:pPr>
      <w:r>
        <w:rPr>
          <w:rFonts w:ascii="Arial" w:cs="Arial" w:eastAsia="Arial" w:hAnsi="Arial"/>
          <w:color w:val="555555"/>
          <w:sz w:val="24"/>
          <w:szCs w:val="24"/>
        </w:rPr>
        <w:t xml:space="preserve">Section 4.4 Receipt Changes – Addendum: Bilt Platform Fields</w:t>
      </w:r>
    </w:p>
    <w:p>
      <w:pPr>
        <w:spacing w:after="40"/>
      </w:pPr>
      <w:r>
        <w:rPr>
          <w:rFonts w:ascii="Arial" w:cs="Arial" w:eastAsia="Arial" w:hAnsi="Arial"/>
          <w:b/>
          <w:bCs/>
          <w:sz w:val="20"/>
          <w:szCs w:val="20"/>
        </w:rPr>
        <w:t xml:space="preserve">Date: </w:t>
      </w:r>
      <w:r>
        <w:rPr>
          <w:rFonts w:ascii="Arial" w:cs="Arial" w:eastAsia="Arial" w:hAnsi="Arial"/>
          <w:sz w:val="20"/>
          <w:szCs w:val="20"/>
        </w:rPr>
        <w:t xml:space="preserve">10 April 2026</w:t>
      </w:r>
    </w:p>
    <w:p>
      <w:pPr>
        <w:spacing w:after="40"/>
      </w:pPr>
      <w:r>
        <w:rPr>
          <w:rFonts w:ascii="Arial" w:cs="Arial" w:eastAsia="Arial" w:hAnsi="Arial"/>
          <w:b/>
          <w:bCs/>
          <w:sz w:val="20"/>
          <w:szCs w:val="20"/>
        </w:rPr>
        <w:t xml:space="preserve">Prepared for: </w:t>
      </w:r>
      <w:r>
        <w:rPr>
          <w:rFonts w:ascii="Arial" w:cs="Arial" w:eastAsia="Arial" w:hAnsi="Arial"/>
          <w:sz w:val="20"/>
          <w:szCs w:val="20"/>
        </w:rPr>
        <w:t xml:space="preserve">Shilpa Kelkar (Veras Retail), TBHC Team</w:t>
      </w:r>
    </w:p>
    <w:p>
      <w:pPr>
        <w:spacing w:after="40"/>
      </w:pPr>
      <w:r>
        <w:rPr>
          <w:rFonts w:ascii="Arial" w:cs="Arial" w:eastAsia="Arial" w:hAnsi="Arial"/>
          <w:b/>
          <w:bCs/>
          <w:sz w:val="20"/>
          <w:szCs w:val="20"/>
        </w:rPr>
        <w:t xml:space="preserve">Prepared by: </w:t>
      </w:r>
      <w:r>
        <w:rPr>
          <w:rFonts w:ascii="Arial" w:cs="Arial" w:eastAsia="Arial" w:hAnsi="Arial"/>
          <w:sz w:val="20"/>
          <w:szCs w:val="20"/>
        </w:rPr>
        <w:t xml:space="preserve">Bilt Payments Team</w:t>
      </w:r>
    </w:p>
    <w:p>
      <w:pPr>
        <w:spacing w:after="300"/>
      </w:pPr>
      <w:r>
        <w:rPr>
          <w:rFonts w:ascii="Arial" w:cs="Arial" w:eastAsia="Arial" w:hAnsi="Arial"/>
          <w:b/>
          <w:bCs/>
          <w:sz w:val="20"/>
          <w:szCs w:val="20"/>
        </w:rPr>
        <w:t xml:space="preserve">Reference: </w:t>
      </w:r>
      <w:r>
        <w:rPr>
          <w:rFonts w:ascii="Arial" w:cs="Arial" w:eastAsia="Arial" w:hAnsi="Arial"/>
          <w:sz w:val="20"/>
          <w:szCs w:val="20"/>
        </w:rPr>
        <w:t xml:space="preserve">Fiserv EMV and Chip Implementation Guide v2025.RG20, Chapters 7 &amp; 12</w:t>
      </w:r>
    </w:p>
    <w:p>
      <w:pPr>
        <w:pStyle w:val="Heading1"/>
      </w:pPr>
      <w:r>
        <w:t xml:space="preserve">1. Purpose</w:t>
      </w:r>
    </w:p>
    <w:p>
      <w:pPr>
        <w:spacing w:after="200"/>
      </w:pPr>
      <w:r>
        <w:rPr>
          <w:rFonts w:ascii="Arial" w:cs="Arial" w:eastAsia="Arial" w:hAnsi="Arial"/>
          <w:sz w:val="22"/>
          <w:szCs w:val="22"/>
        </w:rPr>
        <w:t xml:space="preserve">This addendum supplements Section 4.4 (Receipt Changes) of the TBHC0300 CheckOut Bilt Integration Functional specification. It defines </w:t>
      </w:r>
      <w:r>
        <w:rPr>
          <w:rFonts w:ascii="Arial" w:cs="Arial" w:eastAsia="Arial" w:hAnsi="Arial"/>
          <w:b/>
          <w:bCs/>
          <w:i/>
          <w:iCs/>
          <w:sz w:val="22"/>
          <w:szCs w:val="22"/>
        </w:rPr>
        <w:t xml:space="preserve">optional</w:t>
      </w:r>
      <w:r>
        <w:rPr>
          <w:rFonts w:ascii="Arial" w:cs="Arial" w:eastAsia="Arial" w:hAnsi="Arial"/>
          <w:sz w:val="22"/>
          <w:szCs w:val="22"/>
        </w:rPr>
        <w:t xml:space="preserve"> Bilt Platform–specific fields that may be added to EMV transaction receipts in future phases. These fields are </w:t>
      </w:r>
      <w:r>
        <w:rPr>
          <w:rFonts w:ascii="Arial" w:cs="Arial" w:eastAsia="Arial" w:hAnsi="Arial"/>
          <w:b/>
          <w:bCs/>
          <w:sz w:val="22"/>
          <w:szCs w:val="22"/>
        </w:rPr>
        <w:t xml:space="preserve">not required</w:t>
      </w:r>
      <w:r>
        <w:rPr>
          <w:rFonts w:ascii="Arial" w:cs="Arial" w:eastAsia="Arial" w:hAnsi="Arial"/>
          <w:sz w:val="22"/>
          <w:szCs w:val="22"/>
        </w:rPr>
        <w:t xml:space="preserve"> for initial launch but are documented here to preserve flexibility and avoid re-work when loyalty and split-pay features go live.</w:t>
      </w:r>
    </w:p>
    <w:p>
      <w:pPr>
        <w:pStyle w:val="Heading1"/>
      </w:pPr>
      <w:r>
        <w:t xml:space="preserve">2. Relationship to Fiserv Receipt Requirements</w:t>
      </w:r>
    </w:p>
    <w:p>
      <w:pPr>
        <w:spacing w:after="200"/>
      </w:pPr>
      <w:r>
        <w:rPr>
          <w:rFonts w:ascii="Arial" w:cs="Arial" w:eastAsia="Arial" w:hAnsi="Arial"/>
          <w:sz w:val="22"/>
          <w:szCs w:val="22"/>
        </w:rPr>
        <w:t xml:space="preserve">Fiserv’s EMV Receipt Guidelines (Chapter 7) define the </w:t>
      </w:r>
      <w:r>
        <w:rPr>
          <w:rFonts w:ascii="Arial" w:cs="Arial" w:eastAsia="Arial" w:hAnsi="Arial"/>
          <w:b/>
          <w:bCs/>
          <w:sz w:val="22"/>
          <w:szCs w:val="22"/>
        </w:rPr>
        <w:t xml:space="preserve">mandatory minimum</w:t>
      </w:r>
      <w:r>
        <w:rPr>
          <w:rFonts w:ascii="Arial" w:cs="Arial" w:eastAsia="Arial" w:hAnsi="Arial"/>
          <w:sz w:val="22"/>
          <w:szCs w:val="22"/>
        </w:rPr>
        <w:t xml:space="preserve"> fields for all EMV transaction receipts processed through Fiserv. All fields listed in Table 16 of the Fiserv guide marked as “Mandatory” must be present on every receipt. The Fiserv specification does not restrict merchants from printing additional merchant-defined content, provided the mandatory fields remain present and correctly formatted.</w:t>
      </w:r>
    </w:p>
    <w:p>
      <w:pPr>
        <w:spacing w:after="200"/>
      </w:pPr>
      <w:r>
        <w:rPr>
          <w:rFonts w:ascii="Arial" w:cs="Arial" w:eastAsia="Arial" w:hAnsi="Arial"/>
          <w:sz w:val="22"/>
          <w:szCs w:val="22"/>
        </w:rPr>
        <w:t xml:space="preserve">The Bilt-specific fields below are designed to appear </w:t>
      </w:r>
      <w:r>
        <w:rPr>
          <w:rFonts w:ascii="Arial" w:cs="Arial" w:eastAsia="Arial" w:hAnsi="Arial"/>
          <w:b/>
          <w:bCs/>
          <w:sz w:val="22"/>
          <w:szCs w:val="22"/>
        </w:rPr>
        <w:t xml:space="preserve">after</w:t>
      </w:r>
      <w:r>
        <w:rPr>
          <w:rFonts w:ascii="Arial" w:cs="Arial" w:eastAsia="Arial" w:hAnsi="Arial"/>
          <w:sz w:val="22"/>
          <w:szCs w:val="22"/>
        </w:rPr>
        <w:t xml:space="preserve"> all Fiserv-mandated content on the receipt, in a clearly delineated section. They do not modify, replace, or interfere with any mandatory EMV receipt data.</w:t>
      </w:r>
    </w:p>
    <w:p>
      <w:pPr>
        <w:pStyle w:val="Heading1"/>
      </w:pPr>
      <w:r>
        <w:t xml:space="preserve">3. Bilt Platform Receipt Fields</w:t>
      </w:r>
    </w:p>
    <w:p>
      <w:pPr>
        <w:spacing w:after="200"/>
      </w:pPr>
      <w:r>
        <w:rPr>
          <w:rFonts w:ascii="Arial" w:cs="Arial" w:eastAsia="Arial" w:hAnsi="Arial"/>
          <w:sz w:val="22"/>
          <w:szCs w:val="22"/>
        </w:rPr>
        <w:t xml:space="preserve">The following fields are all classified as </w:t>
      </w:r>
      <w:r>
        <w:rPr>
          <w:rFonts w:ascii="Arial" w:cs="Arial" w:eastAsia="Arial" w:hAnsi="Arial"/>
          <w:b/>
          <w:bCs/>
          <w:sz w:val="22"/>
          <w:szCs w:val="22"/>
        </w:rPr>
        <w:t xml:space="preserve">Optional</w:t>
      </w:r>
      <w:r>
        <w:rPr>
          <w:rFonts w:ascii="Arial" w:cs="Arial" w:eastAsia="Arial" w:hAnsi="Arial"/>
          <w:sz w:val="22"/>
          <w:szCs w:val="22"/>
        </w:rPr>
        <w:t xml:space="preserve">. They will only be printed when the corresponding Bilt Platform feature is active and the transaction involves a Bilt-linked interaction (e.g., loyalty check-in, points redemption, split-pay). For non-Bilt transactions, these fields are omitted entirely and the receipt prints per standard Fiserv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400"/>
        <w:gridCol w:w="140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 Label</w:t>
            </w:r>
          </w:p>
        </w:tc>
        <w:tc>
          <w:tcPr>
            <w:tcW w:type="dxa" w:w="4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Bilt Points Earned</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Number of Bilt Points earned on this transaction. Displayed as a line item below payment summary.</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i/>
                <w:iCs/>
                <w:sz w:val="20"/>
                <w:szCs w:val="20"/>
              </w:rPr>
              <w:t xml:space="preserve">Phase 2</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Bilt Points Redeemed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Dollar value and point count of Bilt Points applied as tender. Appears in the tender breakdown section of the receipt.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20"/>
                <w:szCs w:val="20"/>
              </w:rPr>
              <w:t xml:space="preserve">Phase 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Bilt Member Tier</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Member’s current loyalty tier (e.g., Blue, Silver, Gold, Platinum). Printed near cardholder information.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i/>
                <w:iCs/>
                <w:sz w:val="20"/>
                <w:szCs w:val="20"/>
              </w:rPr>
              <w:t xml:space="preserve">Phase 2</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Bilt Points Balance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Remaining Bilt Points balance after the transaction. Printed below the points earned/redeemed lines.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20"/>
                <w:szCs w:val="20"/>
              </w:rPr>
              <w:t xml:space="preserve">Phase 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Split-Pay Tender Breakdown</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Itemized breakdown of all tenders used (e.g., Loyalty Points, Gift Card, Credit Card) with masked identifiers and amounts. Consolidates all payment methods into one unified receipt.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i/>
                <w:iCs/>
                <w:sz w:val="20"/>
                <w:szCs w:val="20"/>
              </w:rPr>
              <w:t xml:space="preserve">Phase 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BB&amp;B Loyalty Points Earned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Points earned under the Bed Bath &amp; Beyond brand loyalty program (separate from Bilt Points). Displayed alongside Bilt Points earned.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20"/>
                <w:szCs w:val="20"/>
              </w:rPr>
              <w:t xml:space="preserve">Phase 2</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Digital Receipt Link</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QR code or short URL directing the customer to a digital copy of the receipt in the Bilt app or BB&amp;B account.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i/>
                <w:iCs/>
                <w:sz w:val="20"/>
                <w:szCs w:val="20"/>
              </w:rPr>
              <w:t xml:space="preserve">Future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Bilt Member ID (Masked)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Masked Bilt member identifier for customer service reference. Last 4 characters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i/>
                <w:iCs/>
                <w:sz w:val="20"/>
                <w:szCs w:val="20"/>
              </w:rPr>
              <w:t xml:space="preserve">Future</w:t>
            </w:r>
          </w:p>
        </w:tc>
      </w:tr>
    </w:tbl>
    <w:p>
      <w:pPr>
        <w:spacing w:after="200" w:before="120"/>
      </w:pPr>
      <w:r>
        <w:rPr>
          <w:rFonts w:ascii="Arial" w:cs="Arial" w:eastAsia="Arial" w:hAnsi="Arial"/>
          <w:i/>
          <w:iCs/>
          <w:color w:val="666666"/>
          <w:sz w:val="18"/>
          <w:szCs w:val="18"/>
        </w:rPr>
        <w:t xml:space="preserve">* Phase 1 split-pay tender breakdown is partially in scope for initial launch where gift card + credit split is already supported. Full multi-tender (points + gift card + credit) display is Phase 2.</w:t>
      </w:r>
    </w:p>
    <w:p>
      <w:pPr>
        <w:pStyle w:val="Heading1"/>
      </w:pPr>
      <w:r>
        <w:t xml:space="preserve">4. Receipt Layout Guidance</w:t>
      </w:r>
    </w:p>
    <w:p>
      <w:pPr>
        <w:spacing w:after="120"/>
      </w:pPr>
      <w:r>
        <w:rPr>
          <w:rFonts w:ascii="Arial" w:cs="Arial" w:eastAsia="Arial" w:hAnsi="Arial"/>
          <w:sz w:val="22"/>
          <w:szCs w:val="22"/>
        </w:rPr>
        <w:t xml:space="preserve">When Bilt Platform fields are active, they should be printed in a dedicated section on the receipt, following this general order:</w:t>
      </w:r>
    </w:p>
    <w:p>
      <w:pPr>
        <w:pStyle w:val="ListParagraph"/>
        <w:numPr>
          <w:ilvl w:val="0"/>
          <w:numId w:val="2"/>
        </w:numPr>
        <w:spacing w:after="60"/>
      </w:pPr>
      <w:r>
        <w:rPr>
          <w:rFonts w:ascii="Arial" w:cs="Arial" w:eastAsia="Arial" w:hAnsi="Arial"/>
          <w:b/>
          <w:bCs/>
          <w:sz w:val="22"/>
          <w:szCs w:val="22"/>
        </w:rPr>
        <w:t xml:space="preserve">All Fiserv-mandated EMV fields</w:t>
      </w:r>
      <w:r>
        <w:rPr>
          <w:rFonts w:ascii="Arial" w:cs="Arial" w:eastAsia="Arial" w:hAnsi="Arial"/>
          <w:sz w:val="22"/>
          <w:szCs w:val="22"/>
        </w:rPr>
        <w:t xml:space="preserve"> (merchant info, transaction details, card data, CVM, approval, etc.)</w:t>
      </w:r>
    </w:p>
    <w:p>
      <w:pPr>
        <w:pStyle w:val="ListParagraph"/>
        <w:numPr>
          <w:ilvl w:val="0"/>
          <w:numId w:val="2"/>
        </w:numPr>
        <w:spacing w:after="60"/>
      </w:pPr>
      <w:r>
        <w:rPr>
          <w:rFonts w:ascii="Arial" w:cs="Arial" w:eastAsia="Arial" w:hAnsi="Arial"/>
          <w:b/>
          <w:bCs/>
          <w:sz w:val="22"/>
          <w:szCs w:val="22"/>
        </w:rPr>
        <w:t xml:space="preserve">Tender breakdown</w:t>
      </w:r>
      <w:r>
        <w:rPr>
          <w:rFonts w:ascii="Arial" w:cs="Arial" w:eastAsia="Arial" w:hAnsi="Arial"/>
          <w:sz w:val="22"/>
          <w:szCs w:val="22"/>
        </w:rPr>
        <w:t xml:space="preserve"> (split-pay details, if applicable)</w:t>
      </w:r>
    </w:p>
    <w:p>
      <w:pPr>
        <w:pStyle w:val="ListParagraph"/>
        <w:numPr>
          <w:ilvl w:val="0"/>
          <w:numId w:val="2"/>
        </w:numPr>
        <w:spacing w:after="60"/>
      </w:pPr>
      <w:r>
        <w:rPr>
          <w:rFonts w:ascii="Arial" w:cs="Arial" w:eastAsia="Arial" w:hAnsi="Arial"/>
          <w:b/>
          <w:bCs/>
          <w:sz w:val="22"/>
          <w:szCs w:val="22"/>
        </w:rPr>
        <w:t xml:space="preserve">Bilt Loyalty section</w:t>
      </w:r>
      <w:r>
        <w:rPr>
          <w:rFonts w:ascii="Arial" w:cs="Arial" w:eastAsia="Arial" w:hAnsi="Arial"/>
          <w:sz w:val="22"/>
          <w:szCs w:val="22"/>
        </w:rPr>
        <w:t xml:space="preserve"> (points earned, redeemed, balance, tier)</w:t>
      </w:r>
    </w:p>
    <w:p>
      <w:pPr>
        <w:pStyle w:val="ListParagraph"/>
        <w:numPr>
          <w:ilvl w:val="0"/>
          <w:numId w:val="2"/>
        </w:numPr>
        <w:spacing w:after="60"/>
      </w:pPr>
      <w:r>
        <w:rPr>
          <w:rFonts w:ascii="Arial" w:cs="Arial" w:eastAsia="Arial" w:hAnsi="Arial"/>
          <w:b/>
          <w:bCs/>
          <w:sz w:val="22"/>
          <w:szCs w:val="22"/>
        </w:rPr>
        <w:t xml:space="preserve">BB&amp;B Loyalty section</w:t>
      </w:r>
      <w:r>
        <w:rPr>
          <w:rFonts w:ascii="Arial" w:cs="Arial" w:eastAsia="Arial" w:hAnsi="Arial"/>
          <w:sz w:val="22"/>
          <w:szCs w:val="22"/>
        </w:rPr>
        <w:t xml:space="preserve"> (brand-specific loyalty points earned)</w:t>
      </w:r>
    </w:p>
    <w:p>
      <w:pPr>
        <w:pStyle w:val="ListParagraph"/>
        <w:numPr>
          <w:ilvl w:val="0"/>
          <w:numId w:val="2"/>
        </w:numPr>
        <w:spacing w:after="60"/>
      </w:pPr>
      <w:r>
        <w:rPr>
          <w:rFonts w:ascii="Arial" w:cs="Arial" w:eastAsia="Arial" w:hAnsi="Arial"/>
          <w:b/>
          <w:bCs/>
          <w:sz w:val="22"/>
          <w:szCs w:val="22"/>
        </w:rPr>
        <w:t xml:space="preserve">Digital receipt link</w:t>
      </w:r>
      <w:r>
        <w:rPr>
          <w:rFonts w:ascii="Arial" w:cs="Arial" w:eastAsia="Arial" w:hAnsi="Arial"/>
          <w:sz w:val="22"/>
          <w:szCs w:val="22"/>
        </w:rPr>
        <w:t xml:space="preserve"> (QR code or URL, if enabled)</w:t>
      </w:r>
    </w:p>
    <w:p>
      <w:pPr>
        <w:pStyle w:val="ListParagraph"/>
        <w:numPr>
          <w:ilvl w:val="0"/>
          <w:numId w:val="2"/>
        </w:numPr>
        <w:spacing w:after="200"/>
      </w:pPr>
      <w:r>
        <w:rPr>
          <w:rFonts w:ascii="Arial" w:cs="Arial" w:eastAsia="Arial" w:hAnsi="Arial"/>
          <w:b/>
          <w:bCs/>
          <w:sz w:val="22"/>
          <w:szCs w:val="22"/>
        </w:rPr>
        <w:t xml:space="preserve">Standard footer</w:t>
      </w:r>
      <w:r>
        <w:rPr>
          <w:rFonts w:ascii="Arial" w:cs="Arial" w:eastAsia="Arial" w:hAnsi="Arial"/>
          <w:sz w:val="22"/>
          <w:szCs w:val="22"/>
        </w:rPr>
        <w:t xml:space="preserve"> (return policy, declaration, merchant/customer copy indicator)</w:t>
      </w:r>
    </w:p>
    <w:p>
      <w:pPr>
        <w:pStyle w:val="Heading1"/>
      </w:pPr>
      <w:r>
        <w:t xml:space="preserve">5. Action Items</w:t>
      </w:r>
    </w:p>
    <w:p>
      <w:pPr>
        <w:pStyle w:val="ListParagraph"/>
        <w:numPr>
          <w:ilvl w:val="0"/>
          <w:numId w:val="3"/>
        </w:numPr>
        <w:spacing w:after="60"/>
      </w:pPr>
      <w:r>
        <w:rPr>
          <w:rFonts w:ascii="Arial" w:cs="Arial" w:eastAsia="Arial" w:hAnsi="Arial"/>
          <w:sz w:val="22"/>
          <w:szCs w:val="22"/>
        </w:rPr>
        <w:t xml:space="preserve">Veras team to confirm receipt printing framework supports additional optional lines below standard EMV content.</w:t>
      </w:r>
    </w:p>
    <w:p>
      <w:pPr>
        <w:pStyle w:val="ListParagraph"/>
        <w:numPr>
          <w:ilvl w:val="0"/>
          <w:numId w:val="3"/>
        </w:numPr>
        <w:spacing w:after="60"/>
      </w:pPr>
      <w:r>
        <w:rPr>
          <w:rFonts w:ascii="Arial" w:cs="Arial" w:eastAsia="Arial" w:hAnsi="Arial"/>
          <w:sz w:val="22"/>
          <w:szCs w:val="22"/>
        </w:rPr>
        <w:t xml:space="preserve">TBHC Ops to confirm the current receipt format is acceptable with the Fiserv-mandated fields as baseline (per Tramaine’s pending review).</w:t>
      </w:r>
    </w:p>
    <w:p>
      <w:pPr>
        <w:pStyle w:val="ListParagraph"/>
        <w:numPr>
          <w:ilvl w:val="0"/>
          <w:numId w:val="3"/>
        </w:numPr>
        <w:spacing w:after="60"/>
      </w:pPr>
      <w:r>
        <w:rPr>
          <w:rFonts w:ascii="Arial" w:cs="Arial" w:eastAsia="Arial" w:hAnsi="Arial"/>
          <w:sz w:val="22"/>
          <w:szCs w:val="22"/>
        </w:rPr>
        <w:t xml:space="preserve">Bilt team to provide sample receipt mockup incorporating both Fiserv mandatory fields and Bilt optional fields for visual review.</w:t>
      </w:r>
    </w:p>
    <w:p>
      <w:pPr>
        <w:pStyle w:val="ListParagraph"/>
        <w:numPr>
          <w:ilvl w:val="0"/>
          <w:numId w:val="3"/>
        </w:numPr>
        <w:spacing w:after="200"/>
      </w:pPr>
      <w:r>
        <w:rPr>
          <w:rFonts w:ascii="Arial" w:cs="Arial" w:eastAsia="Arial" w:hAnsi="Arial"/>
          <w:sz w:val="22"/>
          <w:szCs w:val="22"/>
        </w:rPr>
        <w:t xml:space="preserve">No changes to Phase 1 timeline – Bilt optional fields are deferred to Phase 2 unless split-pay tender breakdown is ready for initial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Bilt Technologies, Inc.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color w:val="888888"/>
        <w:sz w:val="16"/>
        <w:szCs w:val="16"/>
      </w:rPr>
      <w:t xml:space="preserve">TBHC0300 – Bilt Integration Functional</w:t>
    </w:r>
    <w:r>
      <w:rPr>
        <w:rFonts w:ascii="Arial" w:cs="Arial" w:eastAsia="Arial" w:hAnsi="Arial"/>
        <w:b/>
        <w:bCs/>
        <w:color w:val="1B3A5C"/>
        <w:sz w:val="16"/>
        <w:szCs w:val="16"/>
      </w:rPr>
      <w:t xml:space="preserve">  |  Receipt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2026-04-11T01:24:43.133Z</dcterms:created>
  <dcterms:modified xsi:type="dcterms:W3CDTF">2026-04-11T01:24:43.134Z</dcterms:modified>
</cp:coreProperties>
</file>

<file path=docProps/custom.xml><?xml version="1.0" encoding="utf-8"?>
<Properties xmlns="http://schemas.openxmlformats.org/officeDocument/2006/custom-properties" xmlns:vt="http://schemas.openxmlformats.org/officeDocument/2006/docPropsVTypes"/>
</file>