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7365D"/>
          <w:sz w:val="58"/>
        </w:rPr>
        <w:t>BIM-Intellect v2</w:t>
      </w:r>
    </w:p>
    <w:p>
      <w:pPr>
        <w:jc w:val="center"/>
      </w:pPr>
      <w:r>
        <w:rPr>
          <w:b/>
          <w:color w:val="285F8F"/>
          <w:sz w:val="42"/>
        </w:rPr>
        <w:t>Deep Learning and Graph Anomaly Detection</w:t>
        <w:br/>
        <w:t>Technical Evaluation Note</w:t>
      </w:r>
    </w:p>
    <w:p>
      <w:pPr>
        <w:jc w:val="center"/>
      </w:pPr>
      <w:r>
        <w:rPr>
          <w:i/>
          <w:sz w:val="24"/>
        </w:rPr>
        <w:t>Prepared for client and academic/professor review</w:t>
      </w:r>
    </w:p>
    <w:p>
      <w:pPr>
        <w:spacing w:before="360"/>
        <w:jc w:val="center"/>
      </w:pPr>
      <w:r>
        <w:rPr>
          <w:sz w:val="21"/>
        </w:rPr>
        <w:t>Scope: model architecture, verified training evidence, requested AUC/Recall/True-False metrics, and inference-time evaluation plan</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3E7"/>
            <w:tcMar>
              <w:top w:w="130" w:type="dxa"/>
              <w:start w:w="160" w:type="dxa"/>
              <w:bottom w:w="130" w:type="dxa"/>
              <w:end w:w="160" w:type="dxa"/>
            </w:tcMar>
          </w:tcPr>
          <w:p>
            <w:r>
              <w:rPr>
                <w:b/>
                <w:sz w:val="21"/>
              </w:rPr>
              <w:t>Key interpretation</w:t>
            </w:r>
          </w:p>
          <w:p>
            <w:pPr>
              <w:spacing w:after="0"/>
            </w:pPr>
            <w:r>
              <w:rPr>
                <w:sz w:val="19"/>
              </w:rPr>
              <w:t>The current deep-learning component is an unsupervised graph anomaly detector used for review prioritization. It is not the authoritative clash detector. The deterministic clash engine remains responsible for CLASH and CLEARANCE_VIOLATION decisions.</w:t>
            </w:r>
          </w:p>
        </w:tc>
      </w:tr>
    </w:tbl>
    <w:p>
      <w:pPr>
        <w:spacing w:after="20"/>
      </w:pPr>
    </w:p>
    <w:p>
      <w:r>
        <w:br w:type="page"/>
      </w:r>
    </w:p>
    <w:p>
      <w:pPr>
        <w:pStyle w:val="Heading1"/>
      </w:pPr>
      <w:r>
        <w:t>1. Executive Summary</w:t>
      </w:r>
    </w:p>
    <w:p>
      <w:r>
        <w:t>BIM-Intellect v2 contains an optional deep-learning subsystem for graph anomaly detection. The subsystem is implemented as a two-layer sparse Graph Convolutional Network (GCN) autoencoder. It learns patterns in the IFC/Neo4j building graph and assigns an anomaly score to BIM elements that are difficult to reconstruct from their geometric, topological, and categorical context.</w:t>
      </w:r>
    </w:p>
    <w:p>
      <w:r>
        <w:t>The model is deliberately separated from the deterministic clash-detection engine. It does not create, remove, or reclassify clashes. Instead, its anomaly scores are written to elements and can be attached to clash relationships as an additional triage signal for engineering review.</w:t>
      </w:r>
    </w:p>
    <w:tbl>
      <w:tblPr>
        <w:tblStyle w:val="TableGrid"/>
        <w:tblW w:type="auto" w:w="0"/>
        <w:jc w:val="center"/>
        <w:tblLook w:firstColumn="1" w:firstRow="1" w:lastColumn="0" w:lastRow="0" w:noHBand="0" w:noVBand="1" w:val="04A0"/>
      </w:tblPr>
      <w:tblGrid>
        <w:gridCol w:w="10166"/>
      </w:tblGrid>
      <w:tr>
        <w:trPr>
          <w:cantSplit/>
        </w:trPr>
        <w:tc>
          <w:tcPr>
            <w:tcW w:type="dxa" w:w="10166"/>
            <w:shd w:fill="EEF5FA"/>
            <w:tcMar>
              <w:top w:w="130" w:type="dxa"/>
              <w:start w:w="160" w:type="dxa"/>
              <w:bottom w:w="130" w:type="dxa"/>
              <w:end w:w="160" w:type="dxa"/>
            </w:tcMar>
          </w:tcPr>
          <w:p>
            <w:r>
              <w:rPr>
                <w:b/>
                <w:sz w:val="21"/>
              </w:rPr>
              <w:t>Current verified result</w:t>
            </w:r>
          </w:p>
          <w:p>
            <w:pPr>
              <w:spacing w:after="0"/>
            </w:pPr>
            <w:r>
              <w:rPr>
                <w:sz w:val="19"/>
              </w:rPr>
              <w:t>The supplied 100-epoch training history shows stable convergence: total loss decreased from 0.3562 to 0.1915 (46.2% reduction), feature reconstruction loss decreased 52.9%, and structural reconstruction loss decreased 40.8%. The calibrated anomaly threshold is 0.7904, selected at the 99th percentile of training scores.</w:t>
            </w:r>
          </w:p>
        </w:tc>
      </w:tr>
    </w:tbl>
    <w:p>
      <w:pPr>
        <w:spacing w:after="20"/>
      </w:pPr>
    </w:p>
    <w:p>
      <w:r>
        <w:t>However, the current repository and supplied artifacts do not contain expert-reviewed anomaly ground-truth labels. Therefore ROC-AUC, Recall, Precision, F1, TP, TN, FP, and FN cannot yet be reported as scientifically valid performance measures. These metrics require a labelled validation set. Inference time is also not recorded in the supplied artifacts and must be measured with a controlled benchmark.</w:t>
      </w:r>
    </w:p>
    <w:p>
      <w:pPr>
        <w:pStyle w:val="Heading1"/>
      </w:pPr>
      <w:r>
        <w:t>2. Position of Deep Learning in the BIM-Intellect Architecture</w:t>
      </w:r>
    </w:p>
    <w:p>
      <w:r>
        <w:t>The system has two distinct analysis paths that must not be conflated: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160"/>
            <w:shd w:fill="D9EAF7"/>
            <w:tcMar>
              <w:top w:w="80" w:type="dxa"/>
              <w:start w:w="100" w:type="dxa"/>
              <w:bottom w:w="80" w:type="dxa"/>
              <w:end w:w="100" w:type="dxa"/>
            </w:tcMar>
            <w:vAlign w:val="center"/>
          </w:tcPr>
          <w:p>
            <w:r>
              <w:rPr>
                <w:b/>
                <w:sz w:val="18"/>
              </w:rPr>
              <w:t>Path</w:t>
            </w:r>
          </w:p>
        </w:tc>
        <w:tc>
          <w:tcPr>
            <w:tcW w:type="dxa" w:w="3024"/>
            <w:shd w:fill="D9EAF7"/>
            <w:tcMar>
              <w:top w:w="80" w:type="dxa"/>
              <w:start w:w="100" w:type="dxa"/>
              <w:bottom w:w="80" w:type="dxa"/>
              <w:end w:w="100" w:type="dxa"/>
            </w:tcMar>
            <w:vAlign w:val="center"/>
          </w:tcPr>
          <w:p>
            <w:r>
              <w:rPr>
                <w:b/>
                <w:sz w:val="18"/>
              </w:rPr>
              <w:t>Method</w:t>
            </w:r>
          </w:p>
        </w:tc>
        <w:tc>
          <w:tcPr>
            <w:tcW w:type="dxa" w:w="2448"/>
            <w:shd w:fill="D9EAF7"/>
            <w:tcMar>
              <w:top w:w="80" w:type="dxa"/>
              <w:start w:w="100" w:type="dxa"/>
              <w:bottom w:w="80" w:type="dxa"/>
              <w:end w:w="100" w:type="dxa"/>
            </w:tcMar>
            <w:vAlign w:val="center"/>
          </w:tcPr>
          <w:p>
            <w:r>
              <w:rPr>
                <w:b/>
                <w:sz w:val="18"/>
              </w:rPr>
              <w:t>Authoritative output</w:t>
            </w:r>
          </w:p>
        </w:tc>
        <w:tc>
          <w:tcPr>
            <w:tcW w:type="dxa" w:w="3024"/>
            <w:shd w:fill="D9EAF7"/>
            <w:tcMar>
              <w:top w:w="80" w:type="dxa"/>
              <w:start w:w="100" w:type="dxa"/>
              <w:bottom w:w="80" w:type="dxa"/>
              <w:end w:w="100" w:type="dxa"/>
            </w:tcMar>
            <w:vAlign w:val="center"/>
          </w:tcPr>
          <w:p>
            <w:r>
              <w:rPr>
                <w:b/>
                <w:sz w:val="18"/>
              </w:rPr>
              <w:t>Role</w:t>
            </w:r>
          </w:p>
        </w:tc>
      </w:tr>
      <w:tr>
        <w:trPr>
          <w:cantSplit/>
        </w:trPr>
        <w:tc>
          <w:tcPr>
            <w:tcW w:type="dxa" w:w="2160"/>
            <w:tcMar>
              <w:top w:w="80" w:type="dxa"/>
              <w:start w:w="100" w:type="dxa"/>
              <w:bottom w:w="80" w:type="dxa"/>
              <w:end w:w="100" w:type="dxa"/>
            </w:tcMar>
            <w:vAlign w:val="center"/>
          </w:tcPr>
          <w:p>
            <w:pPr>
              <w:spacing w:after="0"/>
            </w:pPr>
            <w:r>
              <w:rPr>
                <w:sz w:val="18"/>
              </w:rPr>
              <w:t>Clash / clearance analysis</w:t>
            </w:r>
          </w:p>
        </w:tc>
        <w:tc>
          <w:tcPr>
            <w:tcW w:type="dxa" w:w="3024"/>
            <w:tcMar>
              <w:top w:w="80" w:type="dxa"/>
              <w:start w:w="100" w:type="dxa"/>
              <w:bottom w:w="80" w:type="dxa"/>
              <w:end w:w="100" w:type="dxa"/>
            </w:tcMar>
            <w:vAlign w:val="center"/>
          </w:tcPr>
          <w:p>
            <w:pPr>
              <w:spacing w:after="0"/>
            </w:pPr>
            <w:r>
              <w:rPr>
                <w:sz w:val="18"/>
              </w:rPr>
              <w:t>Deterministic AABB geometry + sweep-and-prune rules</w:t>
            </w:r>
          </w:p>
        </w:tc>
        <w:tc>
          <w:tcPr>
            <w:tcW w:type="dxa" w:w="2448"/>
            <w:tcMar>
              <w:top w:w="80" w:type="dxa"/>
              <w:start w:w="100" w:type="dxa"/>
              <w:bottom w:w="80" w:type="dxa"/>
              <w:end w:w="100" w:type="dxa"/>
            </w:tcMar>
            <w:vAlign w:val="center"/>
          </w:tcPr>
          <w:p>
            <w:pPr>
              <w:spacing w:after="0"/>
            </w:pPr>
            <w:r>
              <w:rPr>
                <w:sz w:val="18"/>
              </w:rPr>
              <w:t>CLASH or CLEARANCE_VIOLATION</w:t>
            </w:r>
          </w:p>
        </w:tc>
        <w:tc>
          <w:tcPr>
            <w:tcW w:type="dxa" w:w="3024"/>
            <w:tcMar>
              <w:top w:w="80" w:type="dxa"/>
              <w:start w:w="100" w:type="dxa"/>
              <w:bottom w:w="80" w:type="dxa"/>
              <w:end w:w="100" w:type="dxa"/>
            </w:tcMar>
            <w:vAlign w:val="center"/>
          </w:tcPr>
          <w:p>
            <w:pPr>
              <w:spacing w:after="0"/>
            </w:pPr>
            <w:r>
              <w:rPr>
                <w:sz w:val="18"/>
              </w:rPr>
              <w:t>Engineering issue detection</w:t>
            </w:r>
          </w:p>
        </w:tc>
      </w:tr>
      <w:tr>
        <w:trPr>
          <w:cantSplit/>
        </w:trPr>
        <w:tc>
          <w:tcPr>
            <w:tcW w:type="dxa" w:w="2160"/>
            <w:tcMar>
              <w:top w:w="80" w:type="dxa"/>
              <w:start w:w="100" w:type="dxa"/>
              <w:bottom w:w="80" w:type="dxa"/>
              <w:end w:w="100" w:type="dxa"/>
            </w:tcMar>
            <w:vAlign w:val="center"/>
            <w:shd w:fill="F7F9FB"/>
          </w:tcPr>
          <w:p>
            <w:pPr>
              <w:spacing w:after="0"/>
            </w:pPr>
            <w:r>
              <w:rPr>
                <w:sz w:val="18"/>
              </w:rPr>
              <w:t>Graph anomaly analysis</w:t>
            </w:r>
          </w:p>
        </w:tc>
        <w:tc>
          <w:tcPr>
            <w:tcW w:type="dxa" w:w="3024"/>
            <w:tcMar>
              <w:top w:w="80" w:type="dxa"/>
              <w:start w:w="100" w:type="dxa"/>
              <w:bottom w:w="80" w:type="dxa"/>
              <w:end w:w="100" w:type="dxa"/>
            </w:tcMar>
            <w:vAlign w:val="center"/>
            <w:shd w:fill="F7F9FB"/>
          </w:tcPr>
          <w:p>
            <w:pPr>
              <w:spacing w:after="0"/>
            </w:pPr>
            <w:r>
              <w:rPr>
                <w:sz w:val="18"/>
              </w:rPr>
              <w:t>Unsupervised sparse GCN autoencoder</w:t>
            </w:r>
          </w:p>
        </w:tc>
        <w:tc>
          <w:tcPr>
            <w:tcW w:type="dxa" w:w="2448"/>
            <w:tcMar>
              <w:top w:w="80" w:type="dxa"/>
              <w:start w:w="100" w:type="dxa"/>
              <w:bottom w:w="80" w:type="dxa"/>
              <w:end w:w="100" w:type="dxa"/>
            </w:tcMar>
            <w:vAlign w:val="center"/>
            <w:shd w:fill="F7F9FB"/>
          </w:tcPr>
          <w:p>
            <w:pPr>
              <w:spacing w:after="0"/>
            </w:pPr>
            <w:r>
              <w:rPr>
                <w:sz w:val="18"/>
              </w:rPr>
              <w:t>Continuous anomaly score + isAnomaly flag</w:t>
            </w:r>
          </w:p>
        </w:tc>
        <w:tc>
          <w:tcPr>
            <w:tcW w:type="dxa" w:w="3024"/>
            <w:tcMar>
              <w:top w:w="80" w:type="dxa"/>
              <w:start w:w="100" w:type="dxa"/>
              <w:bottom w:w="80" w:type="dxa"/>
              <w:end w:w="100" w:type="dxa"/>
            </w:tcMar>
            <w:vAlign w:val="center"/>
            <w:shd w:fill="F7F9FB"/>
          </w:tcPr>
          <w:p>
            <w:pPr>
              <w:spacing w:after="0"/>
            </w:pPr>
            <w:r>
              <w:rPr>
                <w:sz w:val="18"/>
              </w:rPr>
              <w:t>Review prioritization / triage signal</w:t>
            </w:r>
          </w:p>
        </w:tc>
      </w:tr>
    </w:tbl>
    <w:p>
      <w:pPr>
        <w:spacing w:after="20"/>
      </w:pPr>
    </w:p>
    <w:p>
      <w:r>
        <w:t>Conceptual flow:</w:t>
      </w:r>
    </w:p>
    <w:p>
      <w:pPr>
        <w:ind w:left="576"/>
      </w:pPr>
      <w:r>
        <w:rPr>
          <w:rFonts w:ascii="Consolas" w:hAnsi="Consolas"/>
          <w:sz w:val="19"/>
        </w:rPr>
        <w:t>IFC models -&gt; Neo4j graph -&gt; node features and graph edges -&gt; GCN encoder -&gt; latent representation -&gt; feature/link reconstruction -&gt; reconstruction errors -&gt; anomaly score -&gt; thresholded triage flag</w:t>
      </w:r>
    </w:p>
    <w:p>
      <w:r>
        <w:t>Only the pre-clash graph relationships are used as model inputs. CLASHES_WITH edges are explicitly excluded so the neural network cannot learn the output of the deterministic clash detector. This is an important anti-leakage design decision.</w:t>
      </w:r>
    </w:p>
    <w:p>
      <w:pPr>
        <w:pStyle w:val="Heading1"/>
      </w:pPr>
      <w:r>
        <w:t>3. Deep-Learning Inputs and Model Architecture</w:t>
      </w:r>
    </w:p>
    <w:p>
      <w:pPr>
        <w:pStyle w:val="Heading2"/>
      </w:pPr>
      <w:r>
        <w:t>3.1 Node features</w:t>
      </w:r>
    </w:p>
    <w:p>
      <w:r>
        <w:t>The documented anomaly feature set includes:</w:t>
      </w:r>
    </w:p>
    <w:p>
      <w:pPr>
        <w:pStyle w:val="ListBullet"/>
      </w:pPr>
      <w:r>
        <w:t>Geometry: bounding-box availability, center coordinates, extents, and log-scaled approximate volume.</w:t>
      </w:r>
    </w:p>
    <w:p>
      <w:pPr>
        <w:pStyle w:val="ListBullet"/>
      </w:pPr>
      <w:r>
        <w:t>Topology: total/in/out degree, mean neighbor degree, isolation, and relationship-specific degree counts.</w:t>
      </w:r>
    </w:p>
    <w:p>
      <w:pPr>
        <w:pStyle w:val="ListBullet"/>
      </w:pPr>
      <w:r>
        <w:t>Spatial context: storey presence and storey category.</w:t>
      </w:r>
    </w:p>
    <w:p>
      <w:pPr>
        <w:pStyle w:val="ListBullet"/>
      </w:pPr>
      <w:r>
        <w:t>Semantic context: one-hot IFC type and one-hot storey, with explicit unknown buckets.</w:t>
      </w:r>
    </w:p>
    <w:p>
      <w:pPr>
        <w:pStyle w:val="ListBullet"/>
      </w:pPr>
      <w:r>
        <w:t>Source graph edges: AGGREGATES, CONTAINS, BOUNDS, and PORT_OF. CLASHES_WITH is excluded.</w:t>
      </w:r>
    </w:p>
    <w:p>
      <w:pPr>
        <w:pStyle w:val="Heading2"/>
      </w:pPr>
      <w:r>
        <w:t>3.2 Neural-network structure</w:t>
      </w:r>
    </w:p>
    <w:p>
      <w:r>
        <w:t>The model uses two sparse GCN encoder layers. The encoder produces a compact latent representation of each graph node. Two decoders are then used: an MLP feature decoder reconstructs node attributes, while a dot-product link decoder reconstructs graph connectivity.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shd w:fill="D9EAF7"/>
            <w:tcMar>
              <w:top w:w="80" w:type="dxa"/>
              <w:start w:w="100" w:type="dxa"/>
              <w:bottom w:w="80" w:type="dxa"/>
              <w:end w:w="100" w:type="dxa"/>
            </w:tcMar>
            <w:vAlign w:val="center"/>
          </w:tcPr>
          <w:p>
            <w:r>
              <w:rPr>
                <w:b/>
                <w:sz w:val="18"/>
              </w:rPr>
              <w:t>Parameter</w:t>
            </w:r>
          </w:p>
        </w:tc>
        <w:tc>
          <w:tcPr>
            <w:tcW w:type="dxa" w:w="6336"/>
            <w:shd w:fill="D9EAF7"/>
            <w:tcMar>
              <w:top w:w="80" w:type="dxa"/>
              <w:start w:w="100" w:type="dxa"/>
              <w:bottom w:w="80" w:type="dxa"/>
              <w:end w:w="100" w:type="dxa"/>
            </w:tcMar>
            <w:vAlign w:val="center"/>
          </w:tcPr>
          <w:p>
            <w:r>
              <w:rPr>
                <w:b/>
                <w:sz w:val="18"/>
              </w:rPr>
              <w:t>Current configured value</w:t>
            </w:r>
          </w:p>
        </w:tc>
      </w:tr>
      <w:tr>
        <w:trPr>
          <w:cantSplit/>
        </w:trPr>
        <w:tc>
          <w:tcPr>
            <w:tcW w:type="dxa" w:w="3312"/>
            <w:tcMar>
              <w:top w:w="80" w:type="dxa"/>
              <w:start w:w="100" w:type="dxa"/>
              <w:bottom w:w="80" w:type="dxa"/>
              <w:end w:w="100" w:type="dxa"/>
            </w:tcMar>
            <w:vAlign w:val="center"/>
          </w:tcPr>
          <w:p>
            <w:pPr>
              <w:spacing w:after="0"/>
            </w:pPr>
            <w:r>
              <w:rPr>
                <w:sz w:val="18"/>
              </w:rPr>
              <w:t>Encoder</w:t>
            </w:r>
          </w:p>
        </w:tc>
        <w:tc>
          <w:tcPr>
            <w:tcW w:type="dxa" w:w="6336"/>
            <w:tcMar>
              <w:top w:w="80" w:type="dxa"/>
              <w:start w:w="100" w:type="dxa"/>
              <w:bottom w:w="80" w:type="dxa"/>
              <w:end w:w="100" w:type="dxa"/>
            </w:tcMar>
            <w:vAlign w:val="center"/>
          </w:tcPr>
          <w:p>
            <w:pPr>
              <w:spacing w:after="0"/>
            </w:pPr>
            <w:r>
              <w:rPr>
                <w:sz w:val="18"/>
              </w:rPr>
              <w:t>Two sparse GCN layers</w:t>
            </w:r>
          </w:p>
        </w:tc>
      </w:tr>
      <w:tr>
        <w:trPr>
          <w:cantSplit/>
        </w:trPr>
        <w:tc>
          <w:tcPr>
            <w:tcW w:type="dxa" w:w="3312"/>
            <w:tcMar>
              <w:top w:w="80" w:type="dxa"/>
              <w:start w:w="100" w:type="dxa"/>
              <w:bottom w:w="80" w:type="dxa"/>
              <w:end w:w="100" w:type="dxa"/>
            </w:tcMar>
            <w:vAlign w:val="center"/>
            <w:shd w:fill="F7F9FB"/>
          </w:tcPr>
          <w:p>
            <w:pPr>
              <w:spacing w:after="0"/>
            </w:pPr>
            <w:r>
              <w:rPr>
                <w:sz w:val="18"/>
              </w:rPr>
              <w:t>Hidden dimension</w:t>
            </w:r>
          </w:p>
        </w:tc>
        <w:tc>
          <w:tcPr>
            <w:tcW w:type="dxa" w:w="6336"/>
            <w:tcMar>
              <w:top w:w="80" w:type="dxa"/>
              <w:start w:w="100" w:type="dxa"/>
              <w:bottom w:w="80" w:type="dxa"/>
              <w:end w:w="100" w:type="dxa"/>
            </w:tcMar>
            <w:vAlign w:val="center"/>
            <w:shd w:fill="F7F9FB"/>
          </w:tcPr>
          <w:p>
            <w:pPr>
              <w:spacing w:after="0"/>
            </w:pPr>
            <w:r>
              <w:rPr>
                <w:sz w:val="18"/>
              </w:rPr>
              <w:t>64</w:t>
            </w:r>
          </w:p>
        </w:tc>
      </w:tr>
      <w:tr>
        <w:trPr>
          <w:cantSplit/>
        </w:trPr>
        <w:tc>
          <w:tcPr>
            <w:tcW w:type="dxa" w:w="3312"/>
            <w:tcMar>
              <w:top w:w="80" w:type="dxa"/>
              <w:start w:w="100" w:type="dxa"/>
              <w:bottom w:w="80" w:type="dxa"/>
              <w:end w:w="100" w:type="dxa"/>
            </w:tcMar>
            <w:vAlign w:val="center"/>
          </w:tcPr>
          <w:p>
            <w:pPr>
              <w:spacing w:after="0"/>
            </w:pPr>
            <w:r>
              <w:rPr>
                <w:sz w:val="18"/>
              </w:rPr>
              <w:t>Latent dimension</w:t>
            </w:r>
          </w:p>
        </w:tc>
        <w:tc>
          <w:tcPr>
            <w:tcW w:type="dxa" w:w="6336"/>
            <w:tcMar>
              <w:top w:w="80" w:type="dxa"/>
              <w:start w:w="100" w:type="dxa"/>
              <w:bottom w:w="80" w:type="dxa"/>
              <w:end w:w="100" w:type="dxa"/>
            </w:tcMar>
            <w:vAlign w:val="center"/>
          </w:tcPr>
          <w:p>
            <w:pPr>
              <w:spacing w:after="0"/>
            </w:pPr>
            <w:r>
              <w:rPr>
                <w:sz w:val="18"/>
              </w:rPr>
              <w:t>16</w:t>
            </w:r>
          </w:p>
        </w:tc>
      </w:tr>
      <w:tr>
        <w:trPr>
          <w:cantSplit/>
        </w:trPr>
        <w:tc>
          <w:tcPr>
            <w:tcW w:type="dxa" w:w="3312"/>
            <w:tcMar>
              <w:top w:w="80" w:type="dxa"/>
              <w:start w:w="100" w:type="dxa"/>
              <w:bottom w:w="80" w:type="dxa"/>
              <w:end w:w="100" w:type="dxa"/>
            </w:tcMar>
            <w:vAlign w:val="center"/>
            <w:shd w:fill="F7F9FB"/>
          </w:tcPr>
          <w:p>
            <w:pPr>
              <w:spacing w:after="0"/>
            </w:pPr>
            <w:r>
              <w:rPr>
                <w:sz w:val="18"/>
              </w:rPr>
              <w:t>Dropout</w:t>
            </w:r>
          </w:p>
        </w:tc>
        <w:tc>
          <w:tcPr>
            <w:tcW w:type="dxa" w:w="6336"/>
            <w:tcMar>
              <w:top w:w="80" w:type="dxa"/>
              <w:start w:w="100" w:type="dxa"/>
              <w:bottom w:w="80" w:type="dxa"/>
              <w:end w:w="100" w:type="dxa"/>
            </w:tcMar>
            <w:vAlign w:val="center"/>
            <w:shd w:fill="F7F9FB"/>
          </w:tcPr>
          <w:p>
            <w:pPr>
              <w:spacing w:after="0"/>
            </w:pPr>
            <w:r>
              <w:rPr>
                <w:sz w:val="18"/>
              </w:rPr>
              <w:t>0.1</w:t>
            </w:r>
          </w:p>
        </w:tc>
      </w:tr>
      <w:tr>
        <w:trPr>
          <w:cantSplit/>
        </w:trPr>
        <w:tc>
          <w:tcPr>
            <w:tcW w:type="dxa" w:w="3312"/>
            <w:tcMar>
              <w:top w:w="80" w:type="dxa"/>
              <w:start w:w="100" w:type="dxa"/>
              <w:bottom w:w="80" w:type="dxa"/>
              <w:end w:w="100" w:type="dxa"/>
            </w:tcMar>
            <w:vAlign w:val="center"/>
          </w:tcPr>
          <w:p>
            <w:pPr>
              <w:spacing w:after="0"/>
            </w:pPr>
            <w:r>
              <w:rPr>
                <w:sz w:val="18"/>
              </w:rPr>
              <w:t>Epochs</w:t>
            </w:r>
          </w:p>
        </w:tc>
        <w:tc>
          <w:tcPr>
            <w:tcW w:type="dxa" w:w="6336"/>
            <w:tcMar>
              <w:top w:w="80" w:type="dxa"/>
              <w:start w:w="100" w:type="dxa"/>
              <w:bottom w:w="80" w:type="dxa"/>
              <w:end w:w="100" w:type="dxa"/>
            </w:tcMar>
            <w:vAlign w:val="center"/>
          </w:tcPr>
          <w:p>
            <w:pPr>
              <w:spacing w:after="0"/>
            </w:pPr>
            <w:r>
              <w:rPr>
                <w:sz w:val="18"/>
              </w:rPr>
              <w:t>100</w:t>
            </w:r>
          </w:p>
        </w:tc>
      </w:tr>
      <w:tr>
        <w:trPr>
          <w:cantSplit/>
        </w:trPr>
        <w:tc>
          <w:tcPr>
            <w:tcW w:type="dxa" w:w="3312"/>
            <w:tcMar>
              <w:top w:w="80" w:type="dxa"/>
              <w:start w:w="100" w:type="dxa"/>
              <w:bottom w:w="80" w:type="dxa"/>
              <w:end w:w="100" w:type="dxa"/>
            </w:tcMar>
            <w:vAlign w:val="center"/>
            <w:shd w:fill="F7F9FB"/>
          </w:tcPr>
          <w:p>
            <w:pPr>
              <w:spacing w:after="0"/>
            </w:pPr>
            <w:r>
              <w:rPr>
                <w:sz w:val="18"/>
              </w:rPr>
              <w:t>Learning rate</w:t>
            </w:r>
          </w:p>
        </w:tc>
        <w:tc>
          <w:tcPr>
            <w:tcW w:type="dxa" w:w="6336"/>
            <w:tcMar>
              <w:top w:w="80" w:type="dxa"/>
              <w:start w:w="100" w:type="dxa"/>
              <w:bottom w:w="80" w:type="dxa"/>
              <w:end w:w="100" w:type="dxa"/>
            </w:tcMar>
            <w:vAlign w:val="center"/>
            <w:shd w:fill="F7F9FB"/>
          </w:tcPr>
          <w:p>
            <w:pPr>
              <w:spacing w:after="0"/>
            </w:pPr>
            <w:r>
              <w:rPr>
                <w:sz w:val="18"/>
              </w:rPr>
              <w:t>0.001</w:t>
            </w:r>
          </w:p>
        </w:tc>
      </w:tr>
      <w:tr>
        <w:trPr>
          <w:cantSplit/>
        </w:trPr>
        <w:tc>
          <w:tcPr>
            <w:tcW w:type="dxa" w:w="3312"/>
            <w:tcMar>
              <w:top w:w="80" w:type="dxa"/>
              <w:start w:w="100" w:type="dxa"/>
              <w:bottom w:w="80" w:type="dxa"/>
              <w:end w:w="100" w:type="dxa"/>
            </w:tcMar>
            <w:vAlign w:val="center"/>
          </w:tcPr>
          <w:p>
            <w:pPr>
              <w:spacing w:after="0"/>
            </w:pPr>
            <w:r>
              <w:rPr>
                <w:sz w:val="18"/>
              </w:rPr>
              <w:t>Weight decay</w:t>
            </w:r>
          </w:p>
        </w:tc>
        <w:tc>
          <w:tcPr>
            <w:tcW w:type="dxa" w:w="6336"/>
            <w:tcMar>
              <w:top w:w="80" w:type="dxa"/>
              <w:start w:w="100" w:type="dxa"/>
              <w:bottom w:w="80" w:type="dxa"/>
              <w:end w:w="100" w:type="dxa"/>
            </w:tcMar>
            <w:vAlign w:val="center"/>
          </w:tcPr>
          <w:p>
            <w:pPr>
              <w:spacing w:after="0"/>
            </w:pPr>
            <w:r>
              <w:rPr>
                <w:sz w:val="18"/>
              </w:rPr>
              <w:t>1e-05</w:t>
            </w:r>
          </w:p>
        </w:tc>
      </w:tr>
      <w:tr>
        <w:trPr>
          <w:cantSplit/>
        </w:trPr>
        <w:tc>
          <w:tcPr>
            <w:tcW w:type="dxa" w:w="3312"/>
            <w:tcMar>
              <w:top w:w="80" w:type="dxa"/>
              <w:start w:w="100" w:type="dxa"/>
              <w:bottom w:w="80" w:type="dxa"/>
              <w:end w:w="100" w:type="dxa"/>
            </w:tcMar>
            <w:vAlign w:val="center"/>
            <w:shd w:fill="F7F9FB"/>
          </w:tcPr>
          <w:p>
            <w:pPr>
              <w:spacing w:after="0"/>
            </w:pPr>
            <w:r>
              <w:rPr>
                <w:sz w:val="18"/>
              </w:rPr>
              <w:t>Negative sampling ratio</w:t>
            </w:r>
          </w:p>
        </w:tc>
        <w:tc>
          <w:tcPr>
            <w:tcW w:type="dxa" w:w="6336"/>
            <w:tcMar>
              <w:top w:w="80" w:type="dxa"/>
              <w:start w:w="100" w:type="dxa"/>
              <w:bottom w:w="80" w:type="dxa"/>
              <w:end w:w="100" w:type="dxa"/>
            </w:tcMar>
            <w:vAlign w:val="center"/>
            <w:shd w:fill="F7F9FB"/>
          </w:tcPr>
          <w:p>
            <w:pPr>
              <w:spacing w:after="0"/>
            </w:pPr>
            <w:r>
              <w:rPr>
                <w:sz w:val="18"/>
              </w:rPr>
              <w:t>1.0</w:t>
            </w:r>
          </w:p>
        </w:tc>
      </w:tr>
      <w:tr>
        <w:trPr>
          <w:cantSplit/>
        </w:trPr>
        <w:tc>
          <w:tcPr>
            <w:tcW w:type="dxa" w:w="3312"/>
            <w:tcMar>
              <w:top w:w="80" w:type="dxa"/>
              <w:start w:w="100" w:type="dxa"/>
              <w:bottom w:w="80" w:type="dxa"/>
              <w:end w:w="100" w:type="dxa"/>
            </w:tcMar>
            <w:vAlign w:val="center"/>
          </w:tcPr>
          <w:p>
            <w:pPr>
              <w:spacing w:after="0"/>
            </w:pPr>
            <w:r>
              <w:rPr>
                <w:sz w:val="18"/>
              </w:rPr>
              <w:t>Device in supplied run</w:t>
            </w:r>
          </w:p>
        </w:tc>
        <w:tc>
          <w:tcPr>
            <w:tcW w:type="dxa" w:w="6336"/>
            <w:tcMar>
              <w:top w:w="80" w:type="dxa"/>
              <w:start w:w="100" w:type="dxa"/>
              <w:bottom w:w="80" w:type="dxa"/>
              <w:end w:w="100" w:type="dxa"/>
            </w:tcMar>
            <w:vAlign w:val="center"/>
          </w:tcPr>
          <w:p>
            <w:pPr>
              <w:spacing w:after="0"/>
            </w:pPr>
            <w:r>
              <w:rPr>
                <w:sz w:val="18"/>
              </w:rPr>
              <w:t>CPU</w:t>
            </w:r>
          </w:p>
        </w:tc>
      </w:tr>
      <w:tr>
        <w:trPr>
          <w:cantSplit/>
        </w:trPr>
        <w:tc>
          <w:tcPr>
            <w:tcW w:type="dxa" w:w="3312"/>
            <w:tcMar>
              <w:top w:w="80" w:type="dxa"/>
              <w:start w:w="100" w:type="dxa"/>
              <w:bottom w:w="80" w:type="dxa"/>
              <w:end w:w="100" w:type="dxa"/>
            </w:tcMar>
            <w:vAlign w:val="center"/>
            <w:shd w:fill="F7F9FB"/>
          </w:tcPr>
          <w:p>
            <w:pPr>
              <w:spacing w:after="0"/>
            </w:pPr>
            <w:r>
              <w:rPr>
                <w:sz w:val="18"/>
              </w:rPr>
              <w:t>Seed</w:t>
            </w:r>
          </w:p>
        </w:tc>
        <w:tc>
          <w:tcPr>
            <w:tcW w:type="dxa" w:w="6336"/>
            <w:tcMar>
              <w:top w:w="80" w:type="dxa"/>
              <w:start w:w="100" w:type="dxa"/>
              <w:bottom w:w="80" w:type="dxa"/>
              <w:end w:w="100" w:type="dxa"/>
            </w:tcMar>
            <w:vAlign w:val="center"/>
            <w:shd w:fill="F7F9FB"/>
          </w:tcPr>
          <w:p>
            <w:pPr>
              <w:spacing w:after="0"/>
            </w:pPr>
            <w:r>
              <w:rPr>
                <w:sz w:val="18"/>
              </w:rPr>
              <w:t>42</w:t>
            </w:r>
          </w:p>
        </w:tc>
      </w:tr>
    </w:tbl>
    <w:p>
      <w:pPr>
        <w:spacing w:after="20"/>
      </w:pPr>
    </w:p>
    <w:p>
      <w:pPr>
        <w:pStyle w:val="Heading2"/>
      </w:pPr>
      <w:r>
        <w:t>3.3 Training objective</w:t>
      </w:r>
    </w:p>
    <w:p>
      <w:r>
        <w:t>The documented training objective is a weighted reconstruction loss:</w:t>
      </w:r>
    </w:p>
    <w:p>
      <w:pPr>
        <w:jc w:val="center"/>
      </w:pPr>
      <w:r>
        <w:rPr>
          <w:b/>
          <w:sz w:val="22"/>
        </w:rPr>
        <w:t>Loss = alpha x Feature Reconstruction Loss + beta x Structural Reconstruction Loss</w:t>
      </w:r>
    </w:p>
    <w:p>
      <w:r>
        <w:t>For the supplied run, alpha = 0.7 and beta = 0.3. Feature reconstruction therefore has the larger weight. Structural reconstruction uses positive graph links together with sampled negative links.</w:t>
      </w:r>
    </w:p>
    <w:p>
      <w:r>
        <w:br w:type="page"/>
      </w:r>
    </w:p>
    <w:p>
      <w:pPr>
        <w:pStyle w:val="Heading1"/>
      </w:pPr>
      <w:r>
        <w:t>4. Verified Training Evidence</w:t>
      </w:r>
    </w:p>
    <w:p>
      <w:r>
        <w:t>The following values are directly supported by the supplied training_history.json artifact. They demonstrate optimization/convergence of the autoencoder, not supervised classification accuracy.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3312"/>
            <w:shd w:fill="D9EAF7"/>
            <w:tcMar>
              <w:top w:w="80" w:type="dxa"/>
              <w:start w:w="100" w:type="dxa"/>
              <w:bottom w:w="80" w:type="dxa"/>
              <w:end w:w="100" w:type="dxa"/>
            </w:tcMar>
            <w:vAlign w:val="center"/>
          </w:tcPr>
          <w:p>
            <w:r>
              <w:rPr>
                <w:b/>
                <w:sz w:val="18"/>
              </w:rPr>
              <w:t>Metric</w:t>
            </w:r>
          </w:p>
        </w:tc>
        <w:tc>
          <w:tcPr>
            <w:tcW w:type="dxa" w:w="1800"/>
            <w:shd w:fill="D9EAF7"/>
            <w:tcMar>
              <w:top w:w="80" w:type="dxa"/>
              <w:start w:w="100" w:type="dxa"/>
              <w:bottom w:w="80" w:type="dxa"/>
              <w:end w:w="100" w:type="dxa"/>
            </w:tcMar>
            <w:vAlign w:val="center"/>
          </w:tcPr>
          <w:p>
            <w:r>
              <w:rPr>
                <w:b/>
                <w:sz w:val="18"/>
              </w:rPr>
              <w:t>Epoch 1</w:t>
            </w:r>
          </w:p>
        </w:tc>
        <w:tc>
          <w:tcPr>
            <w:tcW w:type="dxa" w:w="1800"/>
            <w:shd w:fill="D9EAF7"/>
            <w:tcMar>
              <w:top w:w="80" w:type="dxa"/>
              <w:start w:w="100" w:type="dxa"/>
              <w:bottom w:w="80" w:type="dxa"/>
              <w:end w:w="100" w:type="dxa"/>
            </w:tcMar>
            <w:vAlign w:val="center"/>
          </w:tcPr>
          <w:p>
            <w:r>
              <w:rPr>
                <w:b/>
                <w:sz w:val="18"/>
              </w:rPr>
              <w:t>Epoch 100</w:t>
            </w:r>
          </w:p>
        </w:tc>
        <w:tc>
          <w:tcPr>
            <w:tcW w:type="dxa" w:w="2160"/>
            <w:shd w:fill="D9EAF7"/>
            <w:tcMar>
              <w:top w:w="80" w:type="dxa"/>
              <w:start w:w="100" w:type="dxa"/>
              <w:bottom w:w="80" w:type="dxa"/>
              <w:end w:w="100" w:type="dxa"/>
            </w:tcMar>
            <w:vAlign w:val="center"/>
          </w:tcPr>
          <w:p>
            <w:r>
              <w:rPr>
                <w:b/>
                <w:sz w:val="18"/>
              </w:rPr>
              <w:t>Relative reduction</w:t>
            </w:r>
          </w:p>
        </w:tc>
      </w:tr>
      <w:tr>
        <w:trPr>
          <w:cantSplit/>
        </w:trPr>
        <w:tc>
          <w:tcPr>
            <w:tcW w:type="dxa" w:w="3312"/>
            <w:tcMar>
              <w:top w:w="80" w:type="dxa"/>
              <w:start w:w="100" w:type="dxa"/>
              <w:bottom w:w="80" w:type="dxa"/>
              <w:end w:w="100" w:type="dxa"/>
            </w:tcMar>
            <w:vAlign w:val="center"/>
          </w:tcPr>
          <w:p>
            <w:pPr>
              <w:spacing w:after="0"/>
            </w:pPr>
            <w:r>
              <w:rPr>
                <w:sz w:val="18"/>
              </w:rPr>
              <w:t>Total loss</w:t>
            </w:r>
          </w:p>
        </w:tc>
        <w:tc>
          <w:tcPr>
            <w:tcW w:type="dxa" w:w="1800"/>
            <w:tcMar>
              <w:top w:w="80" w:type="dxa"/>
              <w:start w:w="100" w:type="dxa"/>
              <w:bottom w:w="80" w:type="dxa"/>
              <w:end w:w="100" w:type="dxa"/>
            </w:tcMar>
            <w:vAlign w:val="center"/>
          </w:tcPr>
          <w:p>
            <w:pPr>
              <w:spacing w:after="0"/>
            </w:pPr>
            <w:r>
              <w:rPr>
                <w:sz w:val="18"/>
              </w:rPr>
              <w:t>0.3562</w:t>
            </w:r>
          </w:p>
        </w:tc>
        <w:tc>
          <w:tcPr>
            <w:tcW w:type="dxa" w:w="1800"/>
            <w:tcMar>
              <w:top w:w="80" w:type="dxa"/>
              <w:start w:w="100" w:type="dxa"/>
              <w:bottom w:w="80" w:type="dxa"/>
              <w:end w:w="100" w:type="dxa"/>
            </w:tcMar>
            <w:vAlign w:val="center"/>
          </w:tcPr>
          <w:p>
            <w:pPr>
              <w:spacing w:after="0"/>
            </w:pPr>
            <w:r>
              <w:rPr>
                <w:sz w:val="18"/>
              </w:rPr>
              <w:t>0.1915</w:t>
            </w:r>
          </w:p>
        </w:tc>
        <w:tc>
          <w:tcPr>
            <w:tcW w:type="dxa" w:w="2160"/>
            <w:tcMar>
              <w:top w:w="80" w:type="dxa"/>
              <w:start w:w="100" w:type="dxa"/>
              <w:bottom w:w="80" w:type="dxa"/>
              <w:end w:w="100" w:type="dxa"/>
            </w:tcMar>
            <w:vAlign w:val="center"/>
          </w:tcPr>
          <w:p>
            <w:pPr>
              <w:spacing w:after="0"/>
            </w:pPr>
            <w:r>
              <w:rPr>
                <w:sz w:val="18"/>
              </w:rPr>
              <w:t>46.2%</w:t>
            </w:r>
          </w:p>
        </w:tc>
      </w:tr>
      <w:tr>
        <w:trPr>
          <w:cantSplit/>
        </w:trPr>
        <w:tc>
          <w:tcPr>
            <w:tcW w:type="dxa" w:w="3312"/>
            <w:tcMar>
              <w:top w:w="80" w:type="dxa"/>
              <w:start w:w="100" w:type="dxa"/>
              <w:bottom w:w="80" w:type="dxa"/>
              <w:end w:w="100" w:type="dxa"/>
            </w:tcMar>
            <w:vAlign w:val="center"/>
            <w:shd w:fill="F7F9FB"/>
          </w:tcPr>
          <w:p>
            <w:pPr>
              <w:spacing w:after="0"/>
            </w:pPr>
            <w:r>
              <w:rPr>
                <w:sz w:val="18"/>
              </w:rPr>
              <w:t>Feature reconstruction loss</w:t>
            </w:r>
          </w:p>
        </w:tc>
        <w:tc>
          <w:tcPr>
            <w:tcW w:type="dxa" w:w="1800"/>
            <w:tcMar>
              <w:top w:w="80" w:type="dxa"/>
              <w:start w:w="100" w:type="dxa"/>
              <w:bottom w:w="80" w:type="dxa"/>
              <w:end w:w="100" w:type="dxa"/>
            </w:tcMar>
            <w:vAlign w:val="center"/>
            <w:shd w:fill="F7F9FB"/>
          </w:tcPr>
          <w:p>
            <w:pPr>
              <w:spacing w:after="0"/>
            </w:pPr>
            <w:r>
              <w:rPr>
                <w:sz w:val="18"/>
              </w:rPr>
              <w:t>0.2302</w:t>
            </w:r>
          </w:p>
        </w:tc>
        <w:tc>
          <w:tcPr>
            <w:tcW w:type="dxa" w:w="1800"/>
            <w:tcMar>
              <w:top w:w="80" w:type="dxa"/>
              <w:start w:w="100" w:type="dxa"/>
              <w:bottom w:w="80" w:type="dxa"/>
              <w:end w:w="100" w:type="dxa"/>
            </w:tcMar>
            <w:vAlign w:val="center"/>
            <w:shd w:fill="F7F9FB"/>
          </w:tcPr>
          <w:p>
            <w:pPr>
              <w:spacing w:after="0"/>
            </w:pPr>
            <w:r>
              <w:rPr>
                <w:sz w:val="18"/>
              </w:rPr>
              <w:t>0.1085</w:t>
            </w:r>
          </w:p>
        </w:tc>
        <w:tc>
          <w:tcPr>
            <w:tcW w:type="dxa" w:w="2160"/>
            <w:tcMar>
              <w:top w:w="80" w:type="dxa"/>
              <w:start w:w="100" w:type="dxa"/>
              <w:bottom w:w="80" w:type="dxa"/>
              <w:end w:w="100" w:type="dxa"/>
            </w:tcMar>
            <w:vAlign w:val="center"/>
            <w:shd w:fill="F7F9FB"/>
          </w:tcPr>
          <w:p>
            <w:pPr>
              <w:spacing w:after="0"/>
            </w:pPr>
            <w:r>
              <w:rPr>
                <w:sz w:val="18"/>
              </w:rPr>
              <w:t>52.9%</w:t>
            </w:r>
          </w:p>
        </w:tc>
      </w:tr>
      <w:tr>
        <w:trPr>
          <w:cantSplit/>
        </w:trPr>
        <w:tc>
          <w:tcPr>
            <w:tcW w:type="dxa" w:w="3312"/>
            <w:tcMar>
              <w:top w:w="80" w:type="dxa"/>
              <w:start w:w="100" w:type="dxa"/>
              <w:bottom w:w="80" w:type="dxa"/>
              <w:end w:w="100" w:type="dxa"/>
            </w:tcMar>
            <w:vAlign w:val="center"/>
          </w:tcPr>
          <w:p>
            <w:pPr>
              <w:spacing w:after="0"/>
            </w:pPr>
            <w:r>
              <w:rPr>
                <w:sz w:val="18"/>
              </w:rPr>
              <w:t>Structural reconstruction loss</w:t>
            </w:r>
          </w:p>
        </w:tc>
        <w:tc>
          <w:tcPr>
            <w:tcW w:type="dxa" w:w="1800"/>
            <w:tcMar>
              <w:top w:w="80" w:type="dxa"/>
              <w:start w:w="100" w:type="dxa"/>
              <w:bottom w:w="80" w:type="dxa"/>
              <w:end w:w="100" w:type="dxa"/>
            </w:tcMar>
            <w:vAlign w:val="center"/>
          </w:tcPr>
          <w:p>
            <w:pPr>
              <w:spacing w:after="0"/>
            </w:pPr>
            <w:r>
              <w:rPr>
                <w:sz w:val="18"/>
              </w:rPr>
              <w:t>0.6501</w:t>
            </w:r>
          </w:p>
        </w:tc>
        <w:tc>
          <w:tcPr>
            <w:tcW w:type="dxa" w:w="1800"/>
            <w:tcMar>
              <w:top w:w="80" w:type="dxa"/>
              <w:start w:w="100" w:type="dxa"/>
              <w:bottom w:w="80" w:type="dxa"/>
              <w:end w:w="100" w:type="dxa"/>
            </w:tcMar>
            <w:vAlign w:val="center"/>
          </w:tcPr>
          <w:p>
            <w:pPr>
              <w:spacing w:after="0"/>
            </w:pPr>
            <w:r>
              <w:rPr>
                <w:sz w:val="18"/>
              </w:rPr>
              <w:t>0.3850</w:t>
            </w:r>
          </w:p>
        </w:tc>
        <w:tc>
          <w:tcPr>
            <w:tcW w:type="dxa" w:w="2160"/>
            <w:tcMar>
              <w:top w:w="80" w:type="dxa"/>
              <w:start w:w="100" w:type="dxa"/>
              <w:bottom w:w="80" w:type="dxa"/>
              <w:end w:w="100" w:type="dxa"/>
            </w:tcMar>
            <w:vAlign w:val="center"/>
          </w:tcPr>
          <w:p>
            <w:pPr>
              <w:spacing w:after="0"/>
            </w:pPr>
            <w:r>
              <w:rPr>
                <w:sz w:val="18"/>
              </w:rPr>
              <w:t>40.8%</w:t>
            </w:r>
          </w:p>
        </w:tc>
      </w:tr>
    </w:tbl>
    <w:p>
      <w:pPr>
        <w:spacing w:after="20"/>
      </w:pP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gcn_training_convergence.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7"/>
        </w:rPr>
        <w:t>Figure 1. Training convergence across 100 epochs. The three reconstruction objectives decline steadily.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320"/>
            <w:shd w:fill="D9EAF7"/>
            <w:tcMar>
              <w:top w:w="80" w:type="dxa"/>
              <w:start w:w="100" w:type="dxa"/>
              <w:bottom w:w="80" w:type="dxa"/>
              <w:end w:w="100" w:type="dxa"/>
            </w:tcMar>
            <w:vAlign w:val="center"/>
          </w:tcPr>
          <w:p>
            <w:r>
              <w:rPr>
                <w:b/>
                <w:sz w:val="18"/>
              </w:rPr>
              <w:t>Calibration statistic</w:t>
            </w:r>
          </w:p>
        </w:tc>
        <w:tc>
          <w:tcPr>
            <w:tcW w:type="dxa" w:w="4608"/>
            <w:shd w:fill="D9EAF7"/>
            <w:tcMar>
              <w:top w:w="80" w:type="dxa"/>
              <w:start w:w="100" w:type="dxa"/>
              <w:bottom w:w="80" w:type="dxa"/>
              <w:end w:w="100" w:type="dxa"/>
            </w:tcMar>
            <w:vAlign w:val="center"/>
          </w:tcPr>
          <w:p>
            <w:r>
              <w:rPr>
                <w:b/>
                <w:sz w:val="18"/>
              </w:rPr>
              <w:t>Verified value</w:t>
            </w:r>
          </w:p>
        </w:tc>
      </w:tr>
      <w:tr>
        <w:trPr>
          <w:cantSplit/>
        </w:trPr>
        <w:tc>
          <w:tcPr>
            <w:tcW w:type="dxa" w:w="4320"/>
            <w:tcMar>
              <w:top w:w="80" w:type="dxa"/>
              <w:start w:w="100" w:type="dxa"/>
              <w:bottom w:w="80" w:type="dxa"/>
              <w:end w:w="100" w:type="dxa"/>
            </w:tcMar>
            <w:vAlign w:val="center"/>
          </w:tcPr>
          <w:p>
            <w:pPr>
              <w:spacing w:after="0"/>
            </w:pPr>
            <w:r>
              <w:rPr>
                <w:sz w:val="18"/>
              </w:rPr>
              <w:t>Mean anomaly score</w:t>
            </w:r>
          </w:p>
        </w:tc>
        <w:tc>
          <w:tcPr>
            <w:tcW w:type="dxa" w:w="4608"/>
            <w:tcMar>
              <w:top w:w="80" w:type="dxa"/>
              <w:start w:w="100" w:type="dxa"/>
              <w:bottom w:w="80" w:type="dxa"/>
              <w:end w:w="100" w:type="dxa"/>
            </w:tcMar>
            <w:vAlign w:val="center"/>
          </w:tcPr>
          <w:p>
            <w:pPr>
              <w:spacing w:after="0"/>
            </w:pPr>
            <w:r>
              <w:rPr>
                <w:sz w:val="18"/>
              </w:rPr>
              <w:t>0.215824</w:t>
            </w:r>
          </w:p>
        </w:tc>
      </w:tr>
      <w:tr>
        <w:trPr>
          <w:cantSplit/>
        </w:trPr>
        <w:tc>
          <w:tcPr>
            <w:tcW w:type="dxa" w:w="4320"/>
            <w:tcMar>
              <w:top w:w="80" w:type="dxa"/>
              <w:start w:w="100" w:type="dxa"/>
              <w:bottom w:w="80" w:type="dxa"/>
              <w:end w:w="100" w:type="dxa"/>
            </w:tcMar>
            <w:vAlign w:val="center"/>
            <w:shd w:fill="F7F9FB"/>
          </w:tcPr>
          <w:p>
            <w:pPr>
              <w:spacing w:after="0"/>
            </w:pPr>
            <w:r>
              <w:rPr>
                <w:sz w:val="18"/>
              </w:rPr>
              <w:t>Score standard deviation</w:t>
            </w:r>
          </w:p>
        </w:tc>
        <w:tc>
          <w:tcPr>
            <w:tcW w:type="dxa" w:w="4608"/>
            <w:tcMar>
              <w:top w:w="80" w:type="dxa"/>
              <w:start w:w="100" w:type="dxa"/>
              <w:bottom w:w="80" w:type="dxa"/>
              <w:end w:w="100" w:type="dxa"/>
            </w:tcMar>
            <w:vAlign w:val="center"/>
            <w:shd w:fill="F7F9FB"/>
          </w:tcPr>
          <w:p>
            <w:pPr>
              <w:spacing w:after="0"/>
            </w:pPr>
            <w:r>
              <w:rPr>
                <w:sz w:val="18"/>
              </w:rPr>
              <w:t>0.621703</w:t>
            </w:r>
          </w:p>
        </w:tc>
      </w:tr>
      <w:tr>
        <w:trPr>
          <w:cantSplit/>
        </w:trPr>
        <w:tc>
          <w:tcPr>
            <w:tcW w:type="dxa" w:w="4320"/>
            <w:tcMar>
              <w:top w:w="80" w:type="dxa"/>
              <w:start w:w="100" w:type="dxa"/>
              <w:bottom w:w="80" w:type="dxa"/>
              <w:end w:w="100" w:type="dxa"/>
            </w:tcMar>
            <w:vAlign w:val="center"/>
          </w:tcPr>
          <w:p>
            <w:pPr>
              <w:spacing w:after="0"/>
            </w:pPr>
            <w:r>
              <w:rPr>
                <w:sz w:val="18"/>
              </w:rPr>
              <w:t>Threshold percentile</w:t>
            </w:r>
          </w:p>
        </w:tc>
        <w:tc>
          <w:tcPr>
            <w:tcW w:type="dxa" w:w="4608"/>
            <w:tcMar>
              <w:top w:w="80" w:type="dxa"/>
              <w:start w:w="100" w:type="dxa"/>
              <w:bottom w:w="80" w:type="dxa"/>
              <w:end w:w="100" w:type="dxa"/>
            </w:tcMar>
            <w:vAlign w:val="center"/>
          </w:tcPr>
          <w:p>
            <w:pPr>
              <w:spacing w:after="0"/>
            </w:pPr>
            <w:r>
              <w:rPr>
                <w:sz w:val="18"/>
              </w:rPr>
              <w:t>99.0th percentile</w:t>
            </w:r>
          </w:p>
        </w:tc>
      </w:tr>
      <w:tr>
        <w:trPr>
          <w:cantSplit/>
        </w:trPr>
        <w:tc>
          <w:tcPr>
            <w:tcW w:type="dxa" w:w="4320"/>
            <w:tcMar>
              <w:top w:w="80" w:type="dxa"/>
              <w:start w:w="100" w:type="dxa"/>
              <w:bottom w:w="80" w:type="dxa"/>
              <w:end w:w="100" w:type="dxa"/>
            </w:tcMar>
            <w:vAlign w:val="center"/>
            <w:shd w:fill="F7F9FB"/>
          </w:tcPr>
          <w:p>
            <w:pPr>
              <w:spacing w:after="0"/>
            </w:pPr>
            <w:r>
              <w:rPr>
                <w:sz w:val="18"/>
              </w:rPr>
              <w:t>Anomaly threshold</w:t>
            </w:r>
          </w:p>
        </w:tc>
        <w:tc>
          <w:tcPr>
            <w:tcW w:type="dxa" w:w="4608"/>
            <w:tcMar>
              <w:top w:w="80" w:type="dxa"/>
              <w:start w:w="100" w:type="dxa"/>
              <w:bottom w:w="80" w:type="dxa"/>
              <w:end w:w="100" w:type="dxa"/>
            </w:tcMar>
            <w:vAlign w:val="center"/>
            <w:shd w:fill="F7F9FB"/>
          </w:tcPr>
          <w:p>
            <w:pPr>
              <w:spacing w:after="0"/>
            </w:pPr>
            <w:r>
              <w:rPr>
                <w:sz w:val="18"/>
              </w:rPr>
              <w:t>0.790425</w:t>
            </w:r>
          </w:p>
        </w:tc>
      </w:tr>
      <w:tr>
        <w:trPr>
          <w:cantSplit/>
        </w:trPr>
        <w:tc>
          <w:tcPr>
            <w:tcW w:type="dxa" w:w="4320"/>
            <w:tcMar>
              <w:top w:w="80" w:type="dxa"/>
              <w:start w:w="100" w:type="dxa"/>
              <w:bottom w:w="80" w:type="dxa"/>
              <w:end w:w="100" w:type="dxa"/>
            </w:tcMar>
            <w:vAlign w:val="center"/>
          </w:tcPr>
          <w:p>
            <w:pPr>
              <w:spacing w:after="0"/>
            </w:pPr>
            <w:r>
              <w:rPr>
                <w:sz w:val="18"/>
              </w:rPr>
              <w:t>Mean feature error</w:t>
            </w:r>
          </w:p>
        </w:tc>
        <w:tc>
          <w:tcPr>
            <w:tcW w:type="dxa" w:w="4608"/>
            <w:tcMar>
              <w:top w:w="80" w:type="dxa"/>
              <w:start w:w="100" w:type="dxa"/>
              <w:bottom w:w="80" w:type="dxa"/>
              <w:end w:w="100" w:type="dxa"/>
            </w:tcMar>
            <w:vAlign w:val="center"/>
          </w:tcPr>
          <w:p>
            <w:pPr>
              <w:spacing w:after="0"/>
            </w:pPr>
            <w:r>
              <w:rPr>
                <w:sz w:val="18"/>
              </w:rPr>
              <w:t>0.107058</w:t>
            </w:r>
          </w:p>
        </w:tc>
      </w:tr>
      <w:tr>
        <w:trPr>
          <w:cantSplit/>
        </w:trPr>
        <w:tc>
          <w:tcPr>
            <w:tcW w:type="dxa" w:w="4320"/>
            <w:tcMar>
              <w:top w:w="80" w:type="dxa"/>
              <w:start w:w="100" w:type="dxa"/>
              <w:bottom w:w="80" w:type="dxa"/>
              <w:end w:w="100" w:type="dxa"/>
            </w:tcMar>
            <w:vAlign w:val="center"/>
            <w:shd w:fill="F7F9FB"/>
          </w:tcPr>
          <w:p>
            <w:pPr>
              <w:spacing w:after="0"/>
            </w:pPr>
            <w:r>
              <w:rPr>
                <w:sz w:val="18"/>
              </w:rPr>
              <w:t>Mean structural error</w:t>
            </w:r>
          </w:p>
        </w:tc>
        <w:tc>
          <w:tcPr>
            <w:tcW w:type="dxa" w:w="4608"/>
            <w:tcMar>
              <w:top w:w="80" w:type="dxa"/>
              <w:start w:w="100" w:type="dxa"/>
              <w:bottom w:w="80" w:type="dxa"/>
              <w:end w:w="100" w:type="dxa"/>
            </w:tcMar>
            <w:vAlign w:val="center"/>
            <w:shd w:fill="F7F9FB"/>
          </w:tcPr>
          <w:p>
            <w:pPr>
              <w:spacing w:after="0"/>
            </w:pPr>
            <w:r>
              <w:rPr>
                <w:sz w:val="18"/>
              </w:rPr>
              <w:t>0.469612</w:t>
            </w:r>
          </w:p>
        </w:tc>
      </w:tr>
    </w:tbl>
    <w:p>
      <w:pPr>
        <w:spacing w:after="20"/>
      </w:pPr>
    </w:p>
    <w:tbl>
      <w:tblPr>
        <w:tblStyle w:val="TableGrid"/>
        <w:tblW w:type="auto" w:w="0"/>
        <w:jc w:val="center"/>
        <w:tblLook w:firstColumn="1" w:firstRow="1" w:lastColumn="0" w:lastRow="0" w:noHBand="0" w:noVBand="1" w:val="04A0"/>
      </w:tblPr>
      <w:tblGrid>
        <w:gridCol w:w="10166"/>
      </w:tblGrid>
      <w:tr>
        <w:trPr>
          <w:cantSplit/>
        </w:trPr>
        <w:tc>
          <w:tcPr>
            <w:tcW w:type="dxa" w:w="10166"/>
            <w:shd w:fill="FFF2CC"/>
            <w:tcMar>
              <w:top w:w="130" w:type="dxa"/>
              <w:start w:w="160" w:type="dxa"/>
              <w:bottom w:w="130" w:type="dxa"/>
              <w:end w:w="160" w:type="dxa"/>
            </w:tcMar>
          </w:tcPr>
          <w:p>
            <w:r>
              <w:rPr>
                <w:b/>
                <w:sz w:val="21"/>
              </w:rPr>
              <w:t>Critical clarification</w:t>
            </w:r>
          </w:p>
          <w:p>
            <w:pPr>
              <w:spacing w:after="0"/>
            </w:pPr>
            <w:r>
              <w:rPr>
                <w:sz w:val="19"/>
              </w:rPr>
              <w:t>A 99th-percentile anomaly threshold does NOT mean 99% accuracy. It means that a high reconstruction-error tail of the training-score distribution is used as the triage cutoff. Accuracy/AUC/Recall require ground-truth labels.</w:t>
            </w:r>
          </w:p>
        </w:tc>
      </w:tr>
    </w:tbl>
    <w:p>
      <w:pPr>
        <w:spacing w:after="20"/>
      </w:pPr>
    </w:p>
    <w:p>
      <w:pPr>
        <w:pStyle w:val="Heading1"/>
      </w:pPr>
      <w:r>
        <w:t>5. Client-Requested Metrics: What Can and Cannot Be Reported Today</w:t>
      </w:r>
    </w:p>
    <w:p>
      <w:r>
        <w:t>The client has requested AUC, Recall, False/True metrics, and inference time. The correct current status is summarized below.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D9EAF7"/>
            <w:tcMar>
              <w:top w:w="80" w:type="dxa"/>
              <w:start w:w="100" w:type="dxa"/>
              <w:bottom w:w="80" w:type="dxa"/>
              <w:end w:w="100" w:type="dxa"/>
            </w:tcMar>
            <w:vAlign w:val="center"/>
          </w:tcPr>
          <w:p>
            <w:r>
              <w:rPr>
                <w:b/>
                <w:sz w:val="17"/>
              </w:rPr>
              <w:t>Requested metric</w:t>
            </w:r>
          </w:p>
        </w:tc>
        <w:tc>
          <w:tcPr>
            <w:tcW w:type="dxa" w:w="2232"/>
            <w:shd w:fill="D9EAF7"/>
            <w:tcMar>
              <w:top w:w="80" w:type="dxa"/>
              <w:start w:w="100" w:type="dxa"/>
              <w:bottom w:w="80" w:type="dxa"/>
              <w:end w:w="100" w:type="dxa"/>
            </w:tcMar>
            <w:vAlign w:val="center"/>
          </w:tcPr>
          <w:p>
            <w:r>
              <w:rPr>
                <w:b/>
                <w:sz w:val="17"/>
              </w:rPr>
              <w:t>Current status</w:t>
            </w:r>
          </w:p>
        </w:tc>
        <w:tc>
          <w:tcPr>
            <w:tcW w:type="dxa" w:w="5544"/>
            <w:shd w:fill="D9EAF7"/>
            <w:tcMar>
              <w:top w:w="80" w:type="dxa"/>
              <w:start w:w="100" w:type="dxa"/>
              <w:bottom w:w="80" w:type="dxa"/>
              <w:end w:w="100" w:type="dxa"/>
            </w:tcMar>
            <w:vAlign w:val="center"/>
          </w:tcPr>
          <w:p>
            <w:r>
              <w:rPr>
                <w:b/>
                <w:sz w:val="17"/>
              </w:rPr>
              <w:t>Reason / evidence needed</w:t>
            </w:r>
          </w:p>
        </w:tc>
      </w:tr>
      <w:tr>
        <w:trPr>
          <w:cantSplit/>
        </w:trPr>
        <w:tc>
          <w:tcPr>
            <w:tcW w:type="dxa" w:w="2088"/>
            <w:tcMar>
              <w:top w:w="80" w:type="dxa"/>
              <w:start w:w="100" w:type="dxa"/>
              <w:bottom w:w="80" w:type="dxa"/>
              <w:end w:w="100" w:type="dxa"/>
            </w:tcMar>
            <w:vAlign w:val="center"/>
          </w:tcPr>
          <w:p>
            <w:pPr>
              <w:spacing w:after="0"/>
            </w:pPr>
            <w:r>
              <w:rPr>
                <w:sz w:val="17"/>
              </w:rPr>
              <w:t>ROC-AUC</w:t>
            </w:r>
          </w:p>
        </w:tc>
        <w:tc>
          <w:tcPr>
            <w:tcW w:type="dxa" w:w="2232"/>
            <w:tcMar>
              <w:top w:w="80" w:type="dxa"/>
              <w:start w:w="100" w:type="dxa"/>
              <w:bottom w:w="80" w:type="dxa"/>
              <w:end w:w="100" w:type="dxa"/>
            </w:tcMar>
            <w:vAlign w:val="center"/>
          </w:tcPr>
          <w:p>
            <w:pPr>
              <w:spacing w:after="0"/>
            </w:pPr>
            <w:r>
              <w:rPr>
                <w:sz w:val="17"/>
              </w:rPr>
              <w:t>Not currently measurable</w:t>
            </w:r>
          </w:p>
        </w:tc>
        <w:tc>
          <w:tcPr>
            <w:tcW w:type="dxa" w:w="5544"/>
            <w:tcMar>
              <w:top w:w="80" w:type="dxa"/>
              <w:start w:w="100" w:type="dxa"/>
              <w:bottom w:w="80" w:type="dxa"/>
              <w:end w:w="100" w:type="dxa"/>
            </w:tcMar>
            <w:vAlign w:val="center"/>
          </w:tcPr>
          <w:p>
            <w:pPr>
              <w:spacing w:after="0"/>
            </w:pPr>
            <w:r>
              <w:rPr>
                <w:sz w:val="17"/>
              </w:rPr>
              <w:t>Requires labelled normal/anomalous ground truth and continuous anomaly scores.</w:t>
            </w:r>
          </w:p>
        </w:tc>
      </w:tr>
      <w:tr>
        <w:trPr>
          <w:cantSplit/>
        </w:trPr>
        <w:tc>
          <w:tcPr>
            <w:tcW w:type="dxa" w:w="2088"/>
            <w:tcMar>
              <w:top w:w="80" w:type="dxa"/>
              <w:start w:w="100" w:type="dxa"/>
              <w:bottom w:w="80" w:type="dxa"/>
              <w:end w:w="100" w:type="dxa"/>
            </w:tcMar>
            <w:vAlign w:val="center"/>
            <w:shd w:fill="F7F9FB"/>
          </w:tcPr>
          <w:p>
            <w:pPr>
              <w:spacing w:after="0"/>
            </w:pPr>
            <w:r>
              <w:rPr>
                <w:sz w:val="17"/>
              </w:rPr>
              <w:t>PR-AUC</w:t>
            </w:r>
          </w:p>
        </w:tc>
        <w:tc>
          <w:tcPr>
            <w:tcW w:type="dxa" w:w="2232"/>
            <w:tcMar>
              <w:top w:w="80" w:type="dxa"/>
              <w:start w:w="100" w:type="dxa"/>
              <w:bottom w:w="80" w:type="dxa"/>
              <w:end w:w="100" w:type="dxa"/>
            </w:tcMar>
            <w:vAlign w:val="center"/>
            <w:shd w:fill="F7F9FB"/>
          </w:tcPr>
          <w:p>
            <w:pPr>
              <w:spacing w:after="0"/>
            </w:pPr>
            <w:r>
              <w:rPr>
                <w:sz w:val="17"/>
              </w:rPr>
              <w:t>Not currently measurable</w:t>
            </w:r>
          </w:p>
        </w:tc>
        <w:tc>
          <w:tcPr>
            <w:tcW w:type="dxa" w:w="5544"/>
            <w:tcMar>
              <w:top w:w="80" w:type="dxa"/>
              <w:start w:w="100" w:type="dxa"/>
              <w:bottom w:w="80" w:type="dxa"/>
              <w:end w:w="100" w:type="dxa"/>
            </w:tcMar>
            <w:vAlign w:val="center"/>
            <w:shd w:fill="F7F9FB"/>
          </w:tcPr>
          <w:p>
            <w:pPr>
              <w:spacing w:after="0"/>
            </w:pPr>
            <w:r>
              <w:rPr>
                <w:sz w:val="17"/>
              </w:rPr>
              <w:t>Also requires labelled ground truth; useful when anomalies are rare.</w:t>
            </w:r>
          </w:p>
        </w:tc>
      </w:tr>
      <w:tr>
        <w:trPr>
          <w:cantSplit/>
        </w:trPr>
        <w:tc>
          <w:tcPr>
            <w:tcW w:type="dxa" w:w="2088"/>
            <w:tcMar>
              <w:top w:w="80" w:type="dxa"/>
              <w:start w:w="100" w:type="dxa"/>
              <w:bottom w:w="80" w:type="dxa"/>
              <w:end w:w="100" w:type="dxa"/>
            </w:tcMar>
            <w:vAlign w:val="center"/>
          </w:tcPr>
          <w:p>
            <w:pPr>
              <w:spacing w:after="0"/>
            </w:pPr>
            <w:r>
              <w:rPr>
                <w:sz w:val="17"/>
              </w:rPr>
              <w:t>Recall / Sensitivity</w:t>
            </w:r>
          </w:p>
        </w:tc>
        <w:tc>
          <w:tcPr>
            <w:tcW w:type="dxa" w:w="2232"/>
            <w:tcMar>
              <w:top w:w="80" w:type="dxa"/>
              <w:start w:w="100" w:type="dxa"/>
              <w:bottom w:w="80" w:type="dxa"/>
              <w:end w:w="100" w:type="dxa"/>
            </w:tcMar>
            <w:vAlign w:val="center"/>
          </w:tcPr>
          <w:p>
            <w:pPr>
              <w:spacing w:after="0"/>
            </w:pPr>
            <w:r>
              <w:rPr>
                <w:sz w:val="17"/>
              </w:rPr>
              <w:t>Not currently measurable</w:t>
            </w:r>
          </w:p>
        </w:tc>
        <w:tc>
          <w:tcPr>
            <w:tcW w:type="dxa" w:w="5544"/>
            <w:tcMar>
              <w:top w:w="80" w:type="dxa"/>
              <w:start w:w="100" w:type="dxa"/>
              <w:bottom w:w="80" w:type="dxa"/>
              <w:end w:w="100" w:type="dxa"/>
            </w:tcMar>
            <w:vAlign w:val="center"/>
          </w:tcPr>
          <w:p>
            <w:pPr>
              <w:spacing w:after="0"/>
            </w:pPr>
            <w:r>
              <w:rPr>
                <w:sz w:val="17"/>
              </w:rPr>
              <w:t>Requires TP and FN from labelled validation data.</w:t>
            </w:r>
          </w:p>
        </w:tc>
      </w:tr>
      <w:tr>
        <w:trPr>
          <w:cantSplit/>
        </w:trPr>
        <w:tc>
          <w:tcPr>
            <w:tcW w:type="dxa" w:w="2088"/>
            <w:tcMar>
              <w:top w:w="80" w:type="dxa"/>
              <w:start w:w="100" w:type="dxa"/>
              <w:bottom w:w="80" w:type="dxa"/>
              <w:end w:w="100" w:type="dxa"/>
            </w:tcMar>
            <w:vAlign w:val="center"/>
            <w:shd w:fill="F7F9FB"/>
          </w:tcPr>
          <w:p>
            <w:pPr>
              <w:spacing w:after="0"/>
            </w:pPr>
            <w:r>
              <w:rPr>
                <w:sz w:val="17"/>
              </w:rPr>
              <w:t>Precision</w:t>
            </w:r>
          </w:p>
        </w:tc>
        <w:tc>
          <w:tcPr>
            <w:tcW w:type="dxa" w:w="2232"/>
            <w:tcMar>
              <w:top w:w="80" w:type="dxa"/>
              <w:start w:w="100" w:type="dxa"/>
              <w:bottom w:w="80" w:type="dxa"/>
              <w:end w:w="100" w:type="dxa"/>
            </w:tcMar>
            <w:vAlign w:val="center"/>
            <w:shd w:fill="F7F9FB"/>
          </w:tcPr>
          <w:p>
            <w:pPr>
              <w:spacing w:after="0"/>
            </w:pPr>
            <w:r>
              <w:rPr>
                <w:sz w:val="17"/>
              </w:rPr>
              <w:t>Not currently measurable</w:t>
            </w:r>
          </w:p>
        </w:tc>
        <w:tc>
          <w:tcPr>
            <w:tcW w:type="dxa" w:w="5544"/>
            <w:tcMar>
              <w:top w:w="80" w:type="dxa"/>
              <w:start w:w="100" w:type="dxa"/>
              <w:bottom w:w="80" w:type="dxa"/>
              <w:end w:w="100" w:type="dxa"/>
            </w:tcMar>
            <w:vAlign w:val="center"/>
            <w:shd w:fill="F7F9FB"/>
          </w:tcPr>
          <w:p>
            <w:pPr>
              <w:spacing w:after="0"/>
            </w:pPr>
            <w:r>
              <w:rPr>
                <w:sz w:val="17"/>
              </w:rPr>
              <w:t>Requires TP and FP from labelled validation data.</w:t>
            </w:r>
          </w:p>
        </w:tc>
      </w:tr>
      <w:tr>
        <w:trPr>
          <w:cantSplit/>
        </w:trPr>
        <w:tc>
          <w:tcPr>
            <w:tcW w:type="dxa" w:w="2088"/>
            <w:tcMar>
              <w:top w:w="80" w:type="dxa"/>
              <w:start w:w="100" w:type="dxa"/>
              <w:bottom w:w="80" w:type="dxa"/>
              <w:end w:w="100" w:type="dxa"/>
            </w:tcMar>
            <w:vAlign w:val="center"/>
          </w:tcPr>
          <w:p>
            <w:pPr>
              <w:spacing w:after="0"/>
            </w:pPr>
            <w:r>
              <w:rPr>
                <w:sz w:val="17"/>
              </w:rPr>
              <w:t>F1 score</w:t>
            </w:r>
          </w:p>
        </w:tc>
        <w:tc>
          <w:tcPr>
            <w:tcW w:type="dxa" w:w="2232"/>
            <w:tcMar>
              <w:top w:w="80" w:type="dxa"/>
              <w:start w:w="100" w:type="dxa"/>
              <w:bottom w:w="80" w:type="dxa"/>
              <w:end w:w="100" w:type="dxa"/>
            </w:tcMar>
            <w:vAlign w:val="center"/>
          </w:tcPr>
          <w:p>
            <w:pPr>
              <w:spacing w:after="0"/>
            </w:pPr>
            <w:r>
              <w:rPr>
                <w:sz w:val="17"/>
              </w:rPr>
              <w:t>Not currently measurable</w:t>
            </w:r>
          </w:p>
        </w:tc>
        <w:tc>
          <w:tcPr>
            <w:tcW w:type="dxa" w:w="5544"/>
            <w:tcMar>
              <w:top w:w="80" w:type="dxa"/>
              <w:start w:w="100" w:type="dxa"/>
              <w:bottom w:w="80" w:type="dxa"/>
              <w:end w:w="100" w:type="dxa"/>
            </w:tcMar>
            <w:vAlign w:val="center"/>
          </w:tcPr>
          <w:p>
            <w:pPr>
              <w:spacing w:after="0"/>
            </w:pPr>
            <w:r>
              <w:rPr>
                <w:sz w:val="17"/>
              </w:rPr>
              <w:t>Requires labelled Precision and Recall.</w:t>
            </w:r>
          </w:p>
        </w:tc>
      </w:tr>
      <w:tr>
        <w:trPr>
          <w:cantSplit/>
        </w:trPr>
        <w:tc>
          <w:tcPr>
            <w:tcW w:type="dxa" w:w="2088"/>
            <w:tcMar>
              <w:top w:w="80" w:type="dxa"/>
              <w:start w:w="100" w:type="dxa"/>
              <w:bottom w:w="80" w:type="dxa"/>
              <w:end w:w="100" w:type="dxa"/>
            </w:tcMar>
            <w:vAlign w:val="center"/>
            <w:shd w:fill="F7F9FB"/>
          </w:tcPr>
          <w:p>
            <w:pPr>
              <w:spacing w:after="0"/>
            </w:pPr>
            <w:r>
              <w:rPr>
                <w:sz w:val="17"/>
              </w:rPr>
              <w:t>True Positives (TP)</w:t>
            </w:r>
          </w:p>
        </w:tc>
        <w:tc>
          <w:tcPr>
            <w:tcW w:type="dxa" w:w="2232"/>
            <w:tcMar>
              <w:top w:w="80" w:type="dxa"/>
              <w:start w:w="100" w:type="dxa"/>
              <w:bottom w:w="80" w:type="dxa"/>
              <w:end w:w="100" w:type="dxa"/>
            </w:tcMar>
            <w:vAlign w:val="center"/>
            <w:shd w:fill="F7F9FB"/>
          </w:tcPr>
          <w:p>
            <w:pPr>
              <w:spacing w:after="0"/>
            </w:pPr>
            <w:r>
              <w:rPr>
                <w:sz w:val="17"/>
              </w:rPr>
              <w:t>Not currently measurable</w:t>
            </w:r>
          </w:p>
        </w:tc>
        <w:tc>
          <w:tcPr>
            <w:tcW w:type="dxa" w:w="5544"/>
            <w:tcMar>
              <w:top w:w="80" w:type="dxa"/>
              <w:start w:w="100" w:type="dxa"/>
              <w:bottom w:w="80" w:type="dxa"/>
              <w:end w:w="100" w:type="dxa"/>
            </w:tcMar>
            <w:vAlign w:val="center"/>
            <w:shd w:fill="F7F9FB"/>
          </w:tcPr>
          <w:p>
            <w:pPr>
              <w:spacing w:after="0"/>
            </w:pPr>
            <w:r>
              <w:rPr>
                <w:sz w:val="17"/>
              </w:rPr>
              <w:t>Needs expert labels defining actual anomalies.</w:t>
            </w:r>
          </w:p>
        </w:tc>
      </w:tr>
      <w:tr>
        <w:trPr>
          <w:cantSplit/>
        </w:trPr>
        <w:tc>
          <w:tcPr>
            <w:tcW w:type="dxa" w:w="2088"/>
            <w:tcMar>
              <w:top w:w="80" w:type="dxa"/>
              <w:start w:w="100" w:type="dxa"/>
              <w:bottom w:w="80" w:type="dxa"/>
              <w:end w:w="100" w:type="dxa"/>
            </w:tcMar>
            <w:vAlign w:val="center"/>
          </w:tcPr>
          <w:p>
            <w:pPr>
              <w:spacing w:after="0"/>
            </w:pPr>
            <w:r>
              <w:rPr>
                <w:sz w:val="17"/>
              </w:rPr>
              <w:t>True Negatives (TN)</w:t>
            </w:r>
          </w:p>
        </w:tc>
        <w:tc>
          <w:tcPr>
            <w:tcW w:type="dxa" w:w="2232"/>
            <w:tcMar>
              <w:top w:w="80" w:type="dxa"/>
              <w:start w:w="100" w:type="dxa"/>
              <w:bottom w:w="80" w:type="dxa"/>
              <w:end w:w="100" w:type="dxa"/>
            </w:tcMar>
            <w:vAlign w:val="center"/>
          </w:tcPr>
          <w:p>
            <w:pPr>
              <w:spacing w:after="0"/>
            </w:pPr>
            <w:r>
              <w:rPr>
                <w:sz w:val="17"/>
              </w:rPr>
              <w:t>Not currently measurable</w:t>
            </w:r>
          </w:p>
        </w:tc>
        <w:tc>
          <w:tcPr>
            <w:tcW w:type="dxa" w:w="5544"/>
            <w:tcMar>
              <w:top w:w="80" w:type="dxa"/>
              <w:start w:w="100" w:type="dxa"/>
              <w:bottom w:w="80" w:type="dxa"/>
              <w:end w:w="100" w:type="dxa"/>
            </w:tcMar>
            <w:vAlign w:val="center"/>
          </w:tcPr>
          <w:p>
            <w:pPr>
              <w:spacing w:after="0"/>
            </w:pPr>
            <w:r>
              <w:rPr>
                <w:sz w:val="17"/>
              </w:rPr>
              <w:t>Needs expert labels defining actual normal elements.</w:t>
            </w:r>
          </w:p>
        </w:tc>
      </w:tr>
      <w:tr>
        <w:trPr>
          <w:cantSplit/>
        </w:trPr>
        <w:tc>
          <w:tcPr>
            <w:tcW w:type="dxa" w:w="2088"/>
            <w:tcMar>
              <w:top w:w="80" w:type="dxa"/>
              <w:start w:w="100" w:type="dxa"/>
              <w:bottom w:w="80" w:type="dxa"/>
              <w:end w:w="100" w:type="dxa"/>
            </w:tcMar>
            <w:vAlign w:val="center"/>
            <w:shd w:fill="F7F9FB"/>
          </w:tcPr>
          <w:p>
            <w:pPr>
              <w:spacing w:after="0"/>
            </w:pPr>
            <w:r>
              <w:rPr>
                <w:sz w:val="17"/>
              </w:rPr>
              <w:t>False Positives (FP)</w:t>
            </w:r>
          </w:p>
        </w:tc>
        <w:tc>
          <w:tcPr>
            <w:tcW w:type="dxa" w:w="2232"/>
            <w:tcMar>
              <w:top w:w="80" w:type="dxa"/>
              <w:start w:w="100" w:type="dxa"/>
              <w:bottom w:w="80" w:type="dxa"/>
              <w:end w:w="100" w:type="dxa"/>
            </w:tcMar>
            <w:vAlign w:val="center"/>
            <w:shd w:fill="F7F9FB"/>
          </w:tcPr>
          <w:p>
            <w:pPr>
              <w:spacing w:after="0"/>
            </w:pPr>
            <w:r>
              <w:rPr>
                <w:sz w:val="17"/>
              </w:rPr>
              <w:t>Not currently measurable</w:t>
            </w:r>
          </w:p>
        </w:tc>
        <w:tc>
          <w:tcPr>
            <w:tcW w:type="dxa" w:w="5544"/>
            <w:tcMar>
              <w:top w:w="80" w:type="dxa"/>
              <w:start w:w="100" w:type="dxa"/>
              <w:bottom w:w="80" w:type="dxa"/>
              <w:end w:w="100" w:type="dxa"/>
            </w:tcMar>
            <w:vAlign w:val="center"/>
            <w:shd w:fill="F7F9FB"/>
          </w:tcPr>
          <w:p>
            <w:pPr>
              <w:spacing w:after="0"/>
            </w:pPr>
            <w:r>
              <w:rPr>
                <w:sz w:val="17"/>
              </w:rPr>
              <w:t>Needs comparison between model flags and expert labels.</w:t>
            </w:r>
          </w:p>
        </w:tc>
      </w:tr>
      <w:tr>
        <w:trPr>
          <w:cantSplit/>
        </w:trPr>
        <w:tc>
          <w:tcPr>
            <w:tcW w:type="dxa" w:w="2088"/>
            <w:tcMar>
              <w:top w:w="80" w:type="dxa"/>
              <w:start w:w="100" w:type="dxa"/>
              <w:bottom w:w="80" w:type="dxa"/>
              <w:end w:w="100" w:type="dxa"/>
            </w:tcMar>
            <w:vAlign w:val="center"/>
          </w:tcPr>
          <w:p>
            <w:pPr>
              <w:spacing w:after="0"/>
            </w:pPr>
            <w:r>
              <w:rPr>
                <w:sz w:val="17"/>
              </w:rPr>
              <w:t>False Negatives (FN)</w:t>
            </w:r>
          </w:p>
        </w:tc>
        <w:tc>
          <w:tcPr>
            <w:tcW w:type="dxa" w:w="2232"/>
            <w:tcMar>
              <w:top w:w="80" w:type="dxa"/>
              <w:start w:w="100" w:type="dxa"/>
              <w:bottom w:w="80" w:type="dxa"/>
              <w:end w:w="100" w:type="dxa"/>
            </w:tcMar>
            <w:vAlign w:val="center"/>
          </w:tcPr>
          <w:p>
            <w:pPr>
              <w:spacing w:after="0"/>
            </w:pPr>
            <w:r>
              <w:rPr>
                <w:sz w:val="17"/>
              </w:rPr>
              <w:t>Not currently measurable</w:t>
            </w:r>
          </w:p>
        </w:tc>
        <w:tc>
          <w:tcPr>
            <w:tcW w:type="dxa" w:w="5544"/>
            <w:tcMar>
              <w:top w:w="80" w:type="dxa"/>
              <w:start w:w="100" w:type="dxa"/>
              <w:bottom w:w="80" w:type="dxa"/>
              <w:end w:w="100" w:type="dxa"/>
            </w:tcMar>
            <w:vAlign w:val="center"/>
          </w:tcPr>
          <w:p>
            <w:pPr>
              <w:spacing w:after="0"/>
            </w:pPr>
            <w:r>
              <w:rPr>
                <w:sz w:val="17"/>
              </w:rPr>
              <w:t>Needs comparison between model flags and expert labels.</w:t>
            </w:r>
          </w:p>
        </w:tc>
      </w:tr>
      <w:tr>
        <w:trPr>
          <w:cantSplit/>
        </w:trPr>
        <w:tc>
          <w:tcPr>
            <w:tcW w:type="dxa" w:w="2088"/>
            <w:tcMar>
              <w:top w:w="80" w:type="dxa"/>
              <w:start w:w="100" w:type="dxa"/>
              <w:bottom w:w="80" w:type="dxa"/>
              <w:end w:w="100" w:type="dxa"/>
            </w:tcMar>
            <w:vAlign w:val="center"/>
            <w:shd w:fill="F7F9FB"/>
          </w:tcPr>
          <w:p>
            <w:pPr>
              <w:spacing w:after="0"/>
            </w:pPr>
            <w:r>
              <w:rPr>
                <w:sz w:val="17"/>
              </w:rPr>
              <w:t>Reconstruction losses</w:t>
            </w:r>
          </w:p>
        </w:tc>
        <w:tc>
          <w:tcPr>
            <w:tcW w:type="dxa" w:w="2232"/>
            <w:tcMar>
              <w:top w:w="80" w:type="dxa"/>
              <w:start w:w="100" w:type="dxa"/>
              <w:bottom w:w="80" w:type="dxa"/>
              <w:end w:w="100" w:type="dxa"/>
            </w:tcMar>
            <w:vAlign w:val="center"/>
            <w:shd w:fill="F7F9FB"/>
          </w:tcPr>
          <w:p>
            <w:pPr>
              <w:spacing w:after="0"/>
            </w:pPr>
            <w:r>
              <w:rPr>
                <w:sz w:val="17"/>
              </w:rPr>
              <w:t>Available and verified</w:t>
            </w:r>
          </w:p>
        </w:tc>
        <w:tc>
          <w:tcPr>
            <w:tcW w:type="dxa" w:w="5544"/>
            <w:tcMar>
              <w:top w:w="80" w:type="dxa"/>
              <w:start w:w="100" w:type="dxa"/>
              <w:bottom w:w="80" w:type="dxa"/>
              <w:end w:w="100" w:type="dxa"/>
            </w:tcMar>
            <w:vAlign w:val="center"/>
            <w:shd w:fill="F7F9FB"/>
          </w:tcPr>
          <w:p>
            <w:pPr>
              <w:spacing w:after="0"/>
            </w:pPr>
            <w:r>
              <w:rPr>
                <w:sz w:val="17"/>
              </w:rPr>
              <w:t>Contained in the supplied 100-epoch training artifact.</w:t>
            </w:r>
          </w:p>
        </w:tc>
      </w:tr>
      <w:tr>
        <w:trPr>
          <w:cantSplit/>
        </w:trPr>
        <w:tc>
          <w:tcPr>
            <w:tcW w:type="dxa" w:w="2088"/>
            <w:tcMar>
              <w:top w:w="80" w:type="dxa"/>
              <w:start w:w="100" w:type="dxa"/>
              <w:bottom w:w="80" w:type="dxa"/>
              <w:end w:w="100" w:type="dxa"/>
            </w:tcMar>
            <w:vAlign w:val="center"/>
          </w:tcPr>
          <w:p>
            <w:pPr>
              <w:spacing w:after="0"/>
            </w:pPr>
            <w:r>
              <w:rPr>
                <w:sz w:val="17"/>
              </w:rPr>
              <w:t>Anomaly threshold</w:t>
            </w:r>
          </w:p>
        </w:tc>
        <w:tc>
          <w:tcPr>
            <w:tcW w:type="dxa" w:w="2232"/>
            <w:tcMar>
              <w:top w:w="80" w:type="dxa"/>
              <w:start w:w="100" w:type="dxa"/>
              <w:bottom w:w="80" w:type="dxa"/>
              <w:end w:w="100" w:type="dxa"/>
            </w:tcMar>
            <w:vAlign w:val="center"/>
          </w:tcPr>
          <w:p>
            <w:pPr>
              <w:spacing w:after="0"/>
            </w:pPr>
            <w:r>
              <w:rPr>
                <w:sz w:val="17"/>
              </w:rPr>
              <w:t>Available: 0.7904</w:t>
            </w:r>
          </w:p>
        </w:tc>
        <w:tc>
          <w:tcPr>
            <w:tcW w:type="dxa" w:w="5544"/>
            <w:tcMar>
              <w:top w:w="80" w:type="dxa"/>
              <w:start w:w="100" w:type="dxa"/>
              <w:bottom w:w="80" w:type="dxa"/>
              <w:end w:w="100" w:type="dxa"/>
            </w:tcMar>
            <w:vAlign w:val="center"/>
          </w:tcPr>
          <w:p>
            <w:pPr>
              <w:spacing w:after="0"/>
            </w:pPr>
            <w:r>
              <w:rPr>
                <w:sz w:val="17"/>
              </w:rPr>
              <w:t>99th-percentile calibration from training scores.</w:t>
            </w:r>
          </w:p>
        </w:tc>
      </w:tr>
      <w:tr>
        <w:trPr>
          <w:cantSplit/>
        </w:trPr>
        <w:tc>
          <w:tcPr>
            <w:tcW w:type="dxa" w:w="2088"/>
            <w:tcMar>
              <w:top w:w="80" w:type="dxa"/>
              <w:start w:w="100" w:type="dxa"/>
              <w:bottom w:w="80" w:type="dxa"/>
              <w:end w:w="100" w:type="dxa"/>
            </w:tcMar>
            <w:vAlign w:val="center"/>
            <w:shd w:fill="F7F9FB"/>
          </w:tcPr>
          <w:p>
            <w:pPr>
              <w:spacing w:after="0"/>
            </w:pPr>
            <w:r>
              <w:rPr>
                <w:sz w:val="17"/>
              </w:rPr>
              <w:t>Inference time</w:t>
            </w:r>
          </w:p>
        </w:tc>
        <w:tc>
          <w:tcPr>
            <w:tcW w:type="dxa" w:w="2232"/>
            <w:tcMar>
              <w:top w:w="80" w:type="dxa"/>
              <w:start w:w="100" w:type="dxa"/>
              <w:bottom w:w="80" w:type="dxa"/>
              <w:end w:w="100" w:type="dxa"/>
            </w:tcMar>
            <w:vAlign w:val="center"/>
            <w:shd w:fill="F7F9FB"/>
          </w:tcPr>
          <w:p>
            <w:pPr>
              <w:spacing w:after="0"/>
            </w:pPr>
            <w:r>
              <w:rPr>
                <w:sz w:val="17"/>
              </w:rPr>
              <w:t>Not yet benchmarked</w:t>
            </w:r>
          </w:p>
        </w:tc>
        <w:tc>
          <w:tcPr>
            <w:tcW w:type="dxa" w:w="5544"/>
            <w:tcMar>
              <w:top w:w="80" w:type="dxa"/>
              <w:start w:w="100" w:type="dxa"/>
              <w:bottom w:w="80" w:type="dxa"/>
              <w:end w:w="100" w:type="dxa"/>
            </w:tcMar>
            <w:vAlign w:val="center"/>
            <w:shd w:fill="F7F9FB"/>
          </w:tcPr>
          <w:p>
            <w:pPr>
              <w:spacing w:after="0"/>
            </w:pPr>
            <w:r>
              <w:rPr>
                <w:sz w:val="17"/>
              </w:rPr>
              <w:t>Must be measured on a specified graph, CPU/GPU, checkpoint, and timing scope.</w:t>
            </w:r>
          </w:p>
        </w:tc>
      </w:tr>
    </w:tbl>
    <w:p>
      <w:pPr>
        <w:spacing w:after="20"/>
      </w:pPr>
    </w:p>
    <w:p>
      <w:r>
        <w:t>It would be scientifically incorrect to insert arbitrary zero values for unavailable classification metrics. A value of 0 would mean the metric was actually evaluated and the model obtained zero performance. The correct notation is N/A or “not yet measurable without labelled validation data.”</w:t>
      </w:r>
    </w:p>
    <w:p>
      <w:pPr>
        <w:pStyle w:val="Heading1"/>
      </w:pPr>
      <w:r>
        <w:t>6. How AUC, Recall, and True/False Metrics Should Be Evaluated</w:t>
      </w:r>
    </w:p>
    <w:p>
      <w:pPr>
        <w:pStyle w:val="Heading2"/>
      </w:pPr>
      <w:r>
        <w:t>6.1 Required ground truth</w:t>
      </w:r>
    </w:p>
    <w:p>
      <w:r>
        <w:t>A reviewed validation set must assign each evaluated BIM element a reference label such as NORMAL or ANOMALOUS. These labels should ideally be produced or approved by a BIM/domain expert using explicit anomaly criteria. The existing reconstruction score can then be compared with these labels.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D9EAF7"/>
            <w:tcMar>
              <w:top w:w="80" w:type="dxa"/>
              <w:start w:w="100" w:type="dxa"/>
              <w:bottom w:w="80" w:type="dxa"/>
              <w:end w:w="100" w:type="dxa"/>
            </w:tcMar>
            <w:vAlign w:val="center"/>
          </w:tcPr>
          <w:p>
            <w:r>
              <w:rPr>
                <w:b/>
                <w:sz w:val="18"/>
              </w:rPr>
            </w:r>
          </w:p>
        </w:tc>
        <w:tc>
          <w:tcPr>
            <w:tcW w:type="dxa" w:w="3168"/>
            <w:shd w:fill="D9EAF7"/>
            <w:tcMar>
              <w:top w:w="80" w:type="dxa"/>
              <w:start w:w="100" w:type="dxa"/>
              <w:bottom w:w="80" w:type="dxa"/>
              <w:end w:w="100" w:type="dxa"/>
            </w:tcMar>
            <w:vAlign w:val="center"/>
          </w:tcPr>
          <w:p>
            <w:r>
              <w:rPr>
                <w:b/>
                <w:sz w:val="18"/>
              </w:rPr>
              <w:t>Ground truth: Anomaly</w:t>
            </w:r>
          </w:p>
        </w:tc>
        <w:tc>
          <w:tcPr>
            <w:tcW w:type="dxa" w:w="3168"/>
            <w:shd w:fill="D9EAF7"/>
            <w:tcMar>
              <w:top w:w="80" w:type="dxa"/>
              <w:start w:w="100" w:type="dxa"/>
              <w:bottom w:w="80" w:type="dxa"/>
              <w:end w:w="100" w:type="dxa"/>
            </w:tcMar>
            <w:vAlign w:val="center"/>
          </w:tcPr>
          <w:p>
            <w:r>
              <w:rPr>
                <w:b/>
                <w:sz w:val="18"/>
              </w:rPr>
              <w:t>Ground truth: Normal</w:t>
            </w:r>
          </w:p>
        </w:tc>
      </w:tr>
      <w:tr>
        <w:trPr>
          <w:cantSplit/>
        </w:trPr>
        <w:tc>
          <w:tcPr>
            <w:tcW w:type="dxa" w:w="2880"/>
            <w:tcMar>
              <w:top w:w="80" w:type="dxa"/>
              <w:start w:w="100" w:type="dxa"/>
              <w:bottom w:w="80" w:type="dxa"/>
              <w:end w:w="100" w:type="dxa"/>
            </w:tcMar>
            <w:vAlign w:val="center"/>
          </w:tcPr>
          <w:p>
            <w:pPr>
              <w:spacing w:after="0"/>
            </w:pPr>
            <w:r>
              <w:rPr>
                <w:sz w:val="18"/>
              </w:rPr>
              <w:t>Predicted anomaly</w:t>
            </w:r>
          </w:p>
        </w:tc>
        <w:tc>
          <w:tcPr>
            <w:tcW w:type="dxa" w:w="3168"/>
            <w:tcMar>
              <w:top w:w="80" w:type="dxa"/>
              <w:start w:w="100" w:type="dxa"/>
              <w:bottom w:w="80" w:type="dxa"/>
              <w:end w:w="100" w:type="dxa"/>
            </w:tcMar>
            <w:vAlign w:val="center"/>
          </w:tcPr>
          <w:p>
            <w:pPr>
              <w:spacing w:after="0"/>
            </w:pPr>
            <w:r>
              <w:rPr>
                <w:sz w:val="18"/>
              </w:rPr>
              <w:t>True Positive (TP)</w:t>
            </w:r>
          </w:p>
        </w:tc>
        <w:tc>
          <w:tcPr>
            <w:tcW w:type="dxa" w:w="3168"/>
            <w:tcMar>
              <w:top w:w="80" w:type="dxa"/>
              <w:start w:w="100" w:type="dxa"/>
              <w:bottom w:w="80" w:type="dxa"/>
              <w:end w:w="100" w:type="dxa"/>
            </w:tcMar>
            <w:vAlign w:val="center"/>
          </w:tcPr>
          <w:p>
            <w:pPr>
              <w:spacing w:after="0"/>
            </w:pPr>
            <w:r>
              <w:rPr>
                <w:sz w:val="18"/>
              </w:rPr>
              <w:t>False Positive (FP)</w:t>
            </w:r>
          </w:p>
        </w:tc>
      </w:tr>
      <w:tr>
        <w:trPr>
          <w:cantSplit/>
        </w:trPr>
        <w:tc>
          <w:tcPr>
            <w:tcW w:type="dxa" w:w="2880"/>
            <w:tcMar>
              <w:top w:w="80" w:type="dxa"/>
              <w:start w:w="100" w:type="dxa"/>
              <w:bottom w:w="80" w:type="dxa"/>
              <w:end w:w="100" w:type="dxa"/>
            </w:tcMar>
            <w:vAlign w:val="center"/>
            <w:shd w:fill="F7F9FB"/>
          </w:tcPr>
          <w:p>
            <w:pPr>
              <w:spacing w:after="0"/>
            </w:pPr>
            <w:r>
              <w:rPr>
                <w:sz w:val="18"/>
              </w:rPr>
              <w:t>Predicted normal</w:t>
            </w:r>
          </w:p>
        </w:tc>
        <w:tc>
          <w:tcPr>
            <w:tcW w:type="dxa" w:w="3168"/>
            <w:tcMar>
              <w:top w:w="80" w:type="dxa"/>
              <w:start w:w="100" w:type="dxa"/>
              <w:bottom w:w="80" w:type="dxa"/>
              <w:end w:w="100" w:type="dxa"/>
            </w:tcMar>
            <w:vAlign w:val="center"/>
            <w:shd w:fill="F7F9FB"/>
          </w:tcPr>
          <w:p>
            <w:pPr>
              <w:spacing w:after="0"/>
            </w:pPr>
            <w:r>
              <w:rPr>
                <w:sz w:val="18"/>
              </w:rPr>
              <w:t>False Negative (FN)</w:t>
            </w:r>
          </w:p>
        </w:tc>
        <w:tc>
          <w:tcPr>
            <w:tcW w:type="dxa" w:w="3168"/>
            <w:tcMar>
              <w:top w:w="80" w:type="dxa"/>
              <w:start w:w="100" w:type="dxa"/>
              <w:bottom w:w="80" w:type="dxa"/>
              <w:end w:w="100" w:type="dxa"/>
            </w:tcMar>
            <w:vAlign w:val="center"/>
            <w:shd w:fill="F7F9FB"/>
          </w:tcPr>
          <w:p>
            <w:pPr>
              <w:spacing w:after="0"/>
            </w:pPr>
            <w:r>
              <w:rPr>
                <w:sz w:val="18"/>
              </w:rPr>
              <w:t>True Negative (TN)</w:t>
            </w:r>
          </w:p>
        </w:tc>
      </w:tr>
    </w:tbl>
    <w:p>
      <w:pPr>
        <w:spacing w:after="20"/>
      </w:pPr>
    </w:p>
    <w:p>
      <w:pPr>
        <w:pStyle w:val="Heading2"/>
      </w:pPr>
      <w:r>
        <w:t>6.2 Core formulas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D9EAF7"/>
            <w:tcMar>
              <w:top w:w="80" w:type="dxa"/>
              <w:start w:w="100" w:type="dxa"/>
              <w:bottom w:w="80" w:type="dxa"/>
              <w:end w:w="100" w:type="dxa"/>
            </w:tcMar>
            <w:vAlign w:val="center"/>
          </w:tcPr>
          <w:p>
            <w:r>
              <w:rPr>
                <w:b/>
                <w:sz w:val="17"/>
              </w:rPr>
              <w:t>Metric</w:t>
            </w:r>
          </w:p>
        </w:tc>
        <w:tc>
          <w:tcPr>
            <w:tcW w:type="dxa" w:w="3168"/>
            <w:shd w:fill="D9EAF7"/>
            <w:tcMar>
              <w:top w:w="80" w:type="dxa"/>
              <w:start w:w="100" w:type="dxa"/>
              <w:bottom w:w="80" w:type="dxa"/>
              <w:end w:w="100" w:type="dxa"/>
            </w:tcMar>
            <w:vAlign w:val="center"/>
          </w:tcPr>
          <w:p>
            <w:r>
              <w:rPr>
                <w:b/>
                <w:sz w:val="17"/>
              </w:rPr>
              <w:t>Formula</w:t>
            </w:r>
          </w:p>
        </w:tc>
        <w:tc>
          <w:tcPr>
            <w:tcW w:type="dxa" w:w="4464"/>
            <w:shd w:fill="D9EAF7"/>
            <w:tcMar>
              <w:top w:w="80" w:type="dxa"/>
              <w:start w:w="100" w:type="dxa"/>
              <w:bottom w:w="80" w:type="dxa"/>
              <w:end w:w="100" w:type="dxa"/>
            </w:tcMar>
            <w:vAlign w:val="center"/>
          </w:tcPr>
          <w:p>
            <w:r>
              <w:rPr>
                <w:b/>
                <w:sz w:val="17"/>
              </w:rPr>
              <w:t>Interpretation</w:t>
            </w:r>
          </w:p>
        </w:tc>
      </w:tr>
      <w:tr>
        <w:trPr>
          <w:cantSplit/>
        </w:trPr>
        <w:tc>
          <w:tcPr>
            <w:tcW w:type="dxa" w:w="2304"/>
            <w:tcMar>
              <w:top w:w="80" w:type="dxa"/>
              <w:start w:w="100" w:type="dxa"/>
              <w:bottom w:w="80" w:type="dxa"/>
              <w:end w:w="100" w:type="dxa"/>
            </w:tcMar>
            <w:vAlign w:val="center"/>
          </w:tcPr>
          <w:p>
            <w:pPr>
              <w:spacing w:after="0"/>
            </w:pPr>
            <w:r>
              <w:rPr>
                <w:sz w:val="17"/>
              </w:rPr>
              <w:t>Recall / Sensitivity</w:t>
            </w:r>
          </w:p>
        </w:tc>
        <w:tc>
          <w:tcPr>
            <w:tcW w:type="dxa" w:w="3168"/>
            <w:tcMar>
              <w:top w:w="80" w:type="dxa"/>
              <w:start w:w="100" w:type="dxa"/>
              <w:bottom w:w="80" w:type="dxa"/>
              <w:end w:w="100" w:type="dxa"/>
            </w:tcMar>
            <w:vAlign w:val="center"/>
          </w:tcPr>
          <w:p>
            <w:pPr>
              <w:spacing w:after="0"/>
            </w:pPr>
            <w:r>
              <w:rPr>
                <w:sz w:val="17"/>
              </w:rPr>
              <w:t>TP / (TP + FN)</w:t>
            </w:r>
          </w:p>
        </w:tc>
        <w:tc>
          <w:tcPr>
            <w:tcW w:type="dxa" w:w="4464"/>
            <w:tcMar>
              <w:top w:w="80" w:type="dxa"/>
              <w:start w:w="100" w:type="dxa"/>
              <w:bottom w:w="80" w:type="dxa"/>
              <w:end w:w="100" w:type="dxa"/>
            </w:tcMar>
            <w:vAlign w:val="center"/>
          </w:tcPr>
          <w:p>
            <w:pPr>
              <w:spacing w:after="0"/>
            </w:pPr>
            <w:r>
              <w:rPr>
                <w:sz w:val="17"/>
              </w:rPr>
              <w:t>Of all real anomalies, how many were detected?</w:t>
            </w:r>
          </w:p>
        </w:tc>
      </w:tr>
      <w:tr>
        <w:trPr>
          <w:cantSplit/>
        </w:trPr>
        <w:tc>
          <w:tcPr>
            <w:tcW w:type="dxa" w:w="2304"/>
            <w:tcMar>
              <w:top w:w="80" w:type="dxa"/>
              <w:start w:w="100" w:type="dxa"/>
              <w:bottom w:w="80" w:type="dxa"/>
              <w:end w:w="100" w:type="dxa"/>
            </w:tcMar>
            <w:vAlign w:val="center"/>
            <w:shd w:fill="F7F9FB"/>
          </w:tcPr>
          <w:p>
            <w:pPr>
              <w:spacing w:after="0"/>
            </w:pPr>
            <w:r>
              <w:rPr>
                <w:sz w:val="17"/>
              </w:rPr>
              <w:t>Precision</w:t>
            </w:r>
          </w:p>
        </w:tc>
        <w:tc>
          <w:tcPr>
            <w:tcW w:type="dxa" w:w="3168"/>
            <w:tcMar>
              <w:top w:w="80" w:type="dxa"/>
              <w:start w:w="100" w:type="dxa"/>
              <w:bottom w:w="80" w:type="dxa"/>
              <w:end w:w="100" w:type="dxa"/>
            </w:tcMar>
            <w:vAlign w:val="center"/>
            <w:shd w:fill="F7F9FB"/>
          </w:tcPr>
          <w:p>
            <w:pPr>
              <w:spacing w:after="0"/>
            </w:pPr>
            <w:r>
              <w:rPr>
                <w:sz w:val="17"/>
              </w:rPr>
              <w:t>TP / (TP + FP)</w:t>
            </w:r>
          </w:p>
        </w:tc>
        <w:tc>
          <w:tcPr>
            <w:tcW w:type="dxa" w:w="4464"/>
            <w:tcMar>
              <w:top w:w="80" w:type="dxa"/>
              <w:start w:w="100" w:type="dxa"/>
              <w:bottom w:w="80" w:type="dxa"/>
              <w:end w:w="100" w:type="dxa"/>
            </w:tcMar>
            <w:vAlign w:val="center"/>
            <w:shd w:fill="F7F9FB"/>
          </w:tcPr>
          <w:p>
            <w:pPr>
              <w:spacing w:after="0"/>
            </w:pPr>
            <w:r>
              <w:rPr>
                <w:sz w:val="17"/>
              </w:rPr>
              <w:t>Of all flagged anomalies, how many were truly anomalous?</w:t>
            </w:r>
          </w:p>
        </w:tc>
      </w:tr>
      <w:tr>
        <w:trPr>
          <w:cantSplit/>
        </w:trPr>
        <w:tc>
          <w:tcPr>
            <w:tcW w:type="dxa" w:w="2304"/>
            <w:tcMar>
              <w:top w:w="80" w:type="dxa"/>
              <w:start w:w="100" w:type="dxa"/>
              <w:bottom w:w="80" w:type="dxa"/>
              <w:end w:w="100" w:type="dxa"/>
            </w:tcMar>
            <w:vAlign w:val="center"/>
          </w:tcPr>
          <w:p>
            <w:pPr>
              <w:spacing w:after="0"/>
            </w:pPr>
            <w:r>
              <w:rPr>
                <w:sz w:val="17"/>
              </w:rPr>
              <w:t>Specificity / TNR</w:t>
            </w:r>
          </w:p>
        </w:tc>
        <w:tc>
          <w:tcPr>
            <w:tcW w:type="dxa" w:w="3168"/>
            <w:tcMar>
              <w:top w:w="80" w:type="dxa"/>
              <w:start w:w="100" w:type="dxa"/>
              <w:bottom w:w="80" w:type="dxa"/>
              <w:end w:w="100" w:type="dxa"/>
            </w:tcMar>
            <w:vAlign w:val="center"/>
          </w:tcPr>
          <w:p>
            <w:pPr>
              <w:spacing w:after="0"/>
            </w:pPr>
            <w:r>
              <w:rPr>
                <w:sz w:val="17"/>
              </w:rPr>
              <w:t>TN / (TN + FP)</w:t>
            </w:r>
          </w:p>
        </w:tc>
        <w:tc>
          <w:tcPr>
            <w:tcW w:type="dxa" w:w="4464"/>
            <w:tcMar>
              <w:top w:w="80" w:type="dxa"/>
              <w:start w:w="100" w:type="dxa"/>
              <w:bottom w:w="80" w:type="dxa"/>
              <w:end w:w="100" w:type="dxa"/>
            </w:tcMar>
            <w:vAlign w:val="center"/>
          </w:tcPr>
          <w:p>
            <w:pPr>
              <w:spacing w:after="0"/>
            </w:pPr>
            <w:r>
              <w:rPr>
                <w:sz w:val="17"/>
              </w:rPr>
              <w:t>Of all normal elements, how many were correctly left unflagged?</w:t>
            </w:r>
          </w:p>
        </w:tc>
      </w:tr>
      <w:tr>
        <w:trPr>
          <w:cantSplit/>
        </w:trPr>
        <w:tc>
          <w:tcPr>
            <w:tcW w:type="dxa" w:w="2304"/>
            <w:tcMar>
              <w:top w:w="80" w:type="dxa"/>
              <w:start w:w="100" w:type="dxa"/>
              <w:bottom w:w="80" w:type="dxa"/>
              <w:end w:w="100" w:type="dxa"/>
            </w:tcMar>
            <w:vAlign w:val="center"/>
            <w:shd w:fill="F7F9FB"/>
          </w:tcPr>
          <w:p>
            <w:pPr>
              <w:spacing w:after="0"/>
            </w:pPr>
            <w:r>
              <w:rPr>
                <w:sz w:val="17"/>
              </w:rPr>
              <w:t>False Positive Rate</w:t>
            </w:r>
          </w:p>
        </w:tc>
        <w:tc>
          <w:tcPr>
            <w:tcW w:type="dxa" w:w="3168"/>
            <w:tcMar>
              <w:top w:w="80" w:type="dxa"/>
              <w:start w:w="100" w:type="dxa"/>
              <w:bottom w:w="80" w:type="dxa"/>
              <w:end w:w="100" w:type="dxa"/>
            </w:tcMar>
            <w:vAlign w:val="center"/>
            <w:shd w:fill="F7F9FB"/>
          </w:tcPr>
          <w:p>
            <w:pPr>
              <w:spacing w:after="0"/>
            </w:pPr>
            <w:r>
              <w:rPr>
                <w:sz w:val="17"/>
              </w:rPr>
              <w:t>FP / (FP + TN)</w:t>
            </w:r>
          </w:p>
        </w:tc>
        <w:tc>
          <w:tcPr>
            <w:tcW w:type="dxa" w:w="4464"/>
            <w:tcMar>
              <w:top w:w="80" w:type="dxa"/>
              <w:start w:w="100" w:type="dxa"/>
              <w:bottom w:w="80" w:type="dxa"/>
              <w:end w:w="100" w:type="dxa"/>
            </w:tcMar>
            <w:vAlign w:val="center"/>
            <w:shd w:fill="F7F9FB"/>
          </w:tcPr>
          <w:p>
            <w:pPr>
              <w:spacing w:after="0"/>
            </w:pPr>
            <w:r>
              <w:rPr>
                <w:sz w:val="17"/>
              </w:rPr>
              <w:t>What fraction of normal elements were incorrectly flagged?</w:t>
            </w:r>
          </w:p>
        </w:tc>
      </w:tr>
      <w:tr>
        <w:trPr>
          <w:cantSplit/>
        </w:trPr>
        <w:tc>
          <w:tcPr>
            <w:tcW w:type="dxa" w:w="2304"/>
            <w:tcMar>
              <w:top w:w="80" w:type="dxa"/>
              <w:start w:w="100" w:type="dxa"/>
              <w:bottom w:w="80" w:type="dxa"/>
              <w:end w:w="100" w:type="dxa"/>
            </w:tcMar>
            <w:vAlign w:val="center"/>
          </w:tcPr>
          <w:p>
            <w:pPr>
              <w:spacing w:after="0"/>
            </w:pPr>
            <w:r>
              <w:rPr>
                <w:sz w:val="17"/>
              </w:rPr>
              <w:t>F1 score</w:t>
            </w:r>
          </w:p>
        </w:tc>
        <w:tc>
          <w:tcPr>
            <w:tcW w:type="dxa" w:w="3168"/>
            <w:tcMar>
              <w:top w:w="80" w:type="dxa"/>
              <w:start w:w="100" w:type="dxa"/>
              <w:bottom w:w="80" w:type="dxa"/>
              <w:end w:w="100" w:type="dxa"/>
            </w:tcMar>
            <w:vAlign w:val="center"/>
          </w:tcPr>
          <w:p>
            <w:pPr>
              <w:spacing w:after="0"/>
            </w:pPr>
            <w:r>
              <w:rPr>
                <w:sz w:val="17"/>
              </w:rPr>
              <w:t>2 x Precision x Recall / (Precision + Recall)</w:t>
            </w:r>
          </w:p>
        </w:tc>
        <w:tc>
          <w:tcPr>
            <w:tcW w:type="dxa" w:w="4464"/>
            <w:tcMar>
              <w:top w:w="80" w:type="dxa"/>
              <w:start w:w="100" w:type="dxa"/>
              <w:bottom w:w="80" w:type="dxa"/>
              <w:end w:w="100" w:type="dxa"/>
            </w:tcMar>
            <w:vAlign w:val="center"/>
          </w:tcPr>
          <w:p>
            <w:pPr>
              <w:spacing w:after="0"/>
            </w:pPr>
            <w:r>
              <w:rPr>
                <w:sz w:val="17"/>
              </w:rPr>
              <w:t>Balances Precision and Recall.</w:t>
            </w:r>
          </w:p>
        </w:tc>
      </w:tr>
    </w:tbl>
    <w:p>
      <w:pPr>
        <w:spacing w:after="20"/>
      </w:pPr>
    </w:p>
    <w:p>
      <w:pPr>
        <w:pStyle w:val="Heading2"/>
      </w:pPr>
      <w:r>
        <w:t>6.3 ROC-AUC and PR-AUC</w:t>
      </w:r>
    </w:p>
    <w:p>
      <w:r>
        <w:t>ROC-AUC should be computed from the continuous anomaly score, not only from the fixed 0.7904 threshold. The threshold is swept across the score range and the True Positive Rate is plotted against the False Positive Rate. AUC summarizes ranking/separation across all thresholds.</w:t>
      </w:r>
    </w:p>
    <w:p>
      <w:r>
        <w:t>Because anomaly datasets are often highly imbalanced (many normal elements and relatively few anomalies), Precision-Recall AUC (PR-AUC) should be reported alongside ROC-AUC. PR-AUC is usually more informative about performance on the minority anomalous class.</w:t>
      </w:r>
    </w:p>
    <w:p>
      <w:pPr>
        <w:pStyle w:val="Heading1"/>
      </w:pPr>
      <w:r>
        <w:t>7. Recommended Validation Protocol</w:t>
      </w:r>
    </w:p>
    <w:p>
      <w:r>
        <w:t>To produce professor/client-ready supervised metrics, use the following protocol:</w:t>
      </w:r>
    </w:p>
    <w:p>
      <w:pPr>
        <w:pStyle w:val="ListNumber"/>
      </w:pPr>
      <w:r>
        <w:t>Freeze the current trained checkpoint, feature encoder, normalization rules, and 99th-percentile threshold before evaluation.</w:t>
      </w:r>
    </w:p>
    <w:p>
      <w:pPr>
        <w:pStyle w:val="ListNumber"/>
      </w:pPr>
      <w:r>
        <w:t>Create a validation set that is not used for training or threshold calibration.</w:t>
      </w:r>
    </w:p>
    <w:p>
      <w:pPr>
        <w:pStyle w:val="ListNumber"/>
      </w:pPr>
      <w:r>
        <w:t>Obtain expert-reviewed labels for normal/anomalous BIM elements, with written criteria for what counts as an anomaly.</w:t>
      </w:r>
    </w:p>
    <w:p>
      <w:pPr>
        <w:pStyle w:val="ListNumber"/>
      </w:pPr>
      <w:r>
        <w:t>Run the model once on the labelled validation set and retain each continuous anomaly score.</w:t>
      </w:r>
    </w:p>
    <w:p>
      <w:pPr>
        <w:pStyle w:val="ListNumber"/>
      </w:pPr>
      <w:r>
        <w:t>Compute ROC-AUC and PR-AUC using the continuous scores.</w:t>
      </w:r>
    </w:p>
    <w:p>
      <w:pPr>
        <w:pStyle w:val="ListNumber"/>
      </w:pPr>
      <w:r>
        <w:t>At the production threshold (0.7904), compute TP, TN, FP, FN, Recall, Precision, Specificity, FPR, and F1.</w:t>
      </w:r>
    </w:p>
    <w:p>
      <w:pPr>
        <w:pStyle w:val="ListNumber"/>
      </w:pPr>
      <w:r>
        <w:t>Report the number of evaluated elements and class prevalence (number/percentage anomalous).</w:t>
      </w:r>
    </w:p>
    <w:p>
      <w:pPr>
        <w:pStyle w:val="ListNumber"/>
      </w:pPr>
      <w:r>
        <w:t>Where feasible, use bootstrap confidence intervals or repeated validation to quantify uncertainty.</w:t>
      </w:r>
    </w:p>
    <w:p>
      <w:pPr>
        <w:pStyle w:val="ListNumber"/>
      </w:pPr>
      <w:r>
        <w:t>Keep the anomaly evaluation separate from clash-detection accuracy because the two subsystems answer different questions.</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3E7"/>
            <w:tcMar>
              <w:top w:w="130" w:type="dxa"/>
              <w:start w:w="160" w:type="dxa"/>
              <w:bottom w:w="130" w:type="dxa"/>
              <w:end w:w="160" w:type="dxa"/>
            </w:tcMar>
          </w:tcPr>
          <w:p>
            <w:r>
              <w:rPr>
                <w:b/>
                <w:sz w:val="21"/>
              </w:rPr>
              <w:t>Recommended minimum reporting table</w:t>
            </w:r>
          </w:p>
          <w:p>
            <w:pPr>
              <w:spacing w:after="0"/>
            </w:pPr>
            <w:r>
              <w:rPr>
                <w:sz w:val="19"/>
              </w:rPr>
              <w:t>Dataset/split size; anomaly prevalence; threshold; TP/TN/FP/FN; Recall; Precision; Specificity; F1; ROC-AUC; PR-AUC; confidence intervals where possible; and exact model/checkpoint identifier.</w:t>
            </w:r>
          </w:p>
        </w:tc>
      </w:tr>
    </w:tbl>
    <w:p>
      <w:pPr>
        <w:spacing w:after="20"/>
      </w:pPr>
    </w:p>
    <w:p>
      <w:pPr>
        <w:pStyle w:val="Heading1"/>
      </w:pPr>
      <w:r>
        <w:t>8. Inference-Time Evaluation</w:t>
      </w:r>
    </w:p>
    <w:p>
      <w:r>
        <w:t>The supplied documents and training history do not record a validated inference-time measurement. Therefore no latency value should be claimed yet. Inference should be benchmarked under a fixed hardware/software configuration and should distinguish neural-network time from surrounding graph/database work.</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D9EAF7"/>
            <w:tcMar>
              <w:top w:w="80" w:type="dxa"/>
              <w:start w:w="100" w:type="dxa"/>
              <w:bottom w:w="80" w:type="dxa"/>
              <w:end w:w="100" w:type="dxa"/>
            </w:tcMar>
            <w:vAlign w:val="center"/>
          </w:tcPr>
          <w:p>
            <w:r>
              <w:rPr>
                <w:b/>
                <w:sz w:val="18"/>
              </w:rPr>
              <w:t>Timing level</w:t>
            </w:r>
          </w:p>
        </w:tc>
        <w:tc>
          <w:tcPr>
            <w:tcW w:type="dxa" w:w="6336"/>
            <w:shd w:fill="D9EAF7"/>
            <w:tcMar>
              <w:top w:w="80" w:type="dxa"/>
              <w:start w:w="100" w:type="dxa"/>
              <w:bottom w:w="80" w:type="dxa"/>
              <w:end w:w="100" w:type="dxa"/>
            </w:tcMar>
            <w:vAlign w:val="center"/>
          </w:tcPr>
          <w:p>
            <w:r>
              <w:rPr>
                <w:b/>
                <w:sz w:val="18"/>
              </w:rPr>
              <w:t>What it measures</w:t>
            </w:r>
          </w:p>
        </w:tc>
      </w:tr>
      <w:tr>
        <w:trPr>
          <w:cantSplit/>
        </w:trPr>
        <w:tc>
          <w:tcPr>
            <w:tcW w:type="dxa" w:w="2880"/>
            <w:tcMar>
              <w:top w:w="80" w:type="dxa"/>
              <w:start w:w="100" w:type="dxa"/>
              <w:bottom w:w="80" w:type="dxa"/>
              <w:end w:w="100" w:type="dxa"/>
            </w:tcMar>
            <w:vAlign w:val="center"/>
          </w:tcPr>
          <w:p>
            <w:pPr>
              <w:spacing w:after="0"/>
            </w:pPr>
            <w:r>
              <w:rPr>
                <w:sz w:val="18"/>
              </w:rPr>
              <w:t>Feature preparation</w:t>
            </w:r>
          </w:p>
        </w:tc>
        <w:tc>
          <w:tcPr>
            <w:tcW w:type="dxa" w:w="6336"/>
            <w:tcMar>
              <w:top w:w="80" w:type="dxa"/>
              <w:start w:w="100" w:type="dxa"/>
              <w:bottom w:w="80" w:type="dxa"/>
              <w:end w:w="100" w:type="dxa"/>
            </w:tcMar>
            <w:vAlign w:val="center"/>
          </w:tcPr>
          <w:p>
            <w:pPr>
              <w:spacing w:after="0"/>
            </w:pPr>
            <w:r>
              <w:rPr>
                <w:sz w:val="18"/>
              </w:rPr>
              <w:t>Reading/constructing graph tensors and encoded node features.</w:t>
            </w:r>
          </w:p>
        </w:tc>
      </w:tr>
      <w:tr>
        <w:trPr>
          <w:cantSplit/>
        </w:trPr>
        <w:tc>
          <w:tcPr>
            <w:tcW w:type="dxa" w:w="2880"/>
            <w:tcMar>
              <w:top w:w="80" w:type="dxa"/>
              <w:start w:w="100" w:type="dxa"/>
              <w:bottom w:w="80" w:type="dxa"/>
              <w:end w:w="100" w:type="dxa"/>
            </w:tcMar>
            <w:vAlign w:val="center"/>
            <w:shd w:fill="F7F9FB"/>
          </w:tcPr>
          <w:p>
            <w:pPr>
              <w:spacing w:after="0"/>
            </w:pPr>
            <w:r>
              <w:rPr>
                <w:sz w:val="18"/>
              </w:rPr>
              <w:t>Model forward pass</w:t>
            </w:r>
          </w:p>
        </w:tc>
        <w:tc>
          <w:tcPr>
            <w:tcW w:type="dxa" w:w="6336"/>
            <w:tcMar>
              <w:top w:w="80" w:type="dxa"/>
              <w:start w:w="100" w:type="dxa"/>
              <w:bottom w:w="80" w:type="dxa"/>
              <w:end w:w="100" w:type="dxa"/>
            </w:tcMar>
            <w:vAlign w:val="center"/>
            <w:shd w:fill="F7F9FB"/>
          </w:tcPr>
          <w:p>
            <w:pPr>
              <w:spacing w:after="0"/>
            </w:pPr>
            <w:r>
              <w:rPr>
                <w:sz w:val="18"/>
              </w:rPr>
              <w:t>GCN encoder + feature/link reconstruction for the prepared graph.</w:t>
            </w:r>
          </w:p>
        </w:tc>
      </w:tr>
      <w:tr>
        <w:trPr>
          <w:cantSplit/>
        </w:trPr>
        <w:tc>
          <w:tcPr>
            <w:tcW w:type="dxa" w:w="2880"/>
            <w:tcMar>
              <w:top w:w="80" w:type="dxa"/>
              <w:start w:w="100" w:type="dxa"/>
              <w:bottom w:w="80" w:type="dxa"/>
              <w:end w:w="100" w:type="dxa"/>
            </w:tcMar>
            <w:vAlign w:val="center"/>
          </w:tcPr>
          <w:p>
            <w:pPr>
              <w:spacing w:after="0"/>
            </w:pPr>
            <w:r>
              <w:rPr>
                <w:sz w:val="18"/>
              </w:rPr>
              <w:t>Score calculation</w:t>
            </w:r>
          </w:p>
        </w:tc>
        <w:tc>
          <w:tcPr>
            <w:tcW w:type="dxa" w:w="6336"/>
            <w:tcMar>
              <w:top w:w="80" w:type="dxa"/>
              <w:start w:w="100" w:type="dxa"/>
              <w:bottom w:w="80" w:type="dxa"/>
              <w:end w:w="100" w:type="dxa"/>
            </w:tcMar>
            <w:vAlign w:val="center"/>
          </w:tcPr>
          <w:p>
            <w:pPr>
              <w:spacing w:after="0"/>
            </w:pPr>
            <w:r>
              <w:rPr>
                <w:sz w:val="18"/>
              </w:rPr>
              <w:t>Feature/structural errors, anomaly-score computation, thresholding.</w:t>
            </w:r>
          </w:p>
        </w:tc>
      </w:tr>
      <w:tr>
        <w:trPr>
          <w:cantSplit/>
        </w:trPr>
        <w:tc>
          <w:tcPr>
            <w:tcW w:type="dxa" w:w="2880"/>
            <w:tcMar>
              <w:top w:w="80" w:type="dxa"/>
              <w:start w:w="100" w:type="dxa"/>
              <w:bottom w:w="80" w:type="dxa"/>
              <w:end w:w="100" w:type="dxa"/>
            </w:tcMar>
            <w:vAlign w:val="center"/>
            <w:shd w:fill="F7F9FB"/>
          </w:tcPr>
          <w:p>
            <w:pPr>
              <w:spacing w:after="0"/>
            </w:pPr>
            <w:r>
              <w:rPr>
                <w:sz w:val="18"/>
              </w:rPr>
              <w:t>Persistence</w:t>
            </w:r>
          </w:p>
        </w:tc>
        <w:tc>
          <w:tcPr>
            <w:tcW w:type="dxa" w:w="6336"/>
            <w:tcMar>
              <w:top w:w="80" w:type="dxa"/>
              <w:start w:w="100" w:type="dxa"/>
              <w:bottom w:w="80" w:type="dxa"/>
              <w:end w:w="100" w:type="dxa"/>
            </w:tcMar>
            <w:vAlign w:val="center"/>
            <w:shd w:fill="F7F9FB"/>
          </w:tcPr>
          <w:p>
            <w:pPr>
              <w:spacing w:after="0"/>
            </w:pPr>
            <w:r>
              <w:rPr>
                <w:sz w:val="18"/>
              </w:rPr>
              <w:t>Writing anomalyScore / error / isAnomaly fields back to Neo4j.</w:t>
            </w:r>
          </w:p>
        </w:tc>
      </w:tr>
      <w:tr>
        <w:trPr>
          <w:cantSplit/>
        </w:trPr>
        <w:tc>
          <w:tcPr>
            <w:tcW w:type="dxa" w:w="2880"/>
            <w:tcMar>
              <w:top w:w="80" w:type="dxa"/>
              <w:start w:w="100" w:type="dxa"/>
              <w:bottom w:w="80" w:type="dxa"/>
              <w:end w:w="100" w:type="dxa"/>
            </w:tcMar>
            <w:vAlign w:val="center"/>
          </w:tcPr>
          <w:p>
            <w:pPr>
              <w:spacing w:after="0"/>
            </w:pPr>
            <w:r>
              <w:rPr>
                <w:sz w:val="18"/>
              </w:rPr>
              <w:t>End-to-end</w:t>
            </w:r>
          </w:p>
        </w:tc>
        <w:tc>
          <w:tcPr>
            <w:tcW w:type="dxa" w:w="6336"/>
            <w:tcMar>
              <w:top w:w="80" w:type="dxa"/>
              <w:start w:w="100" w:type="dxa"/>
              <w:bottom w:w="80" w:type="dxa"/>
              <w:end w:w="100" w:type="dxa"/>
            </w:tcMar>
            <w:vAlign w:val="center"/>
          </w:tcPr>
          <w:p>
            <w:pPr>
              <w:spacing w:after="0"/>
            </w:pPr>
            <w:r>
              <w:rPr>
                <w:sz w:val="18"/>
              </w:rPr>
              <w:t>Complete anomaly operation as experienced by the application/API.</w:t>
            </w:r>
          </w:p>
        </w:tc>
      </w:tr>
    </w:tbl>
    <w:p>
      <w:pPr>
        <w:spacing w:after="20"/>
      </w:pPr>
    </w:p>
    <w:p>
      <w:pPr>
        <w:pStyle w:val="Heading2"/>
      </w:pPr>
      <w:r>
        <w:t>8.1 Recommended benchmark method</w:t>
      </w:r>
    </w:p>
    <w:p>
      <w:pPr>
        <w:pStyle w:val="ListBullet"/>
      </w:pPr>
      <w:r>
        <w:t>Use the same checkpoint and preprocessing pipeline used for production.</w:t>
      </w:r>
    </w:p>
    <w:p>
      <w:pPr>
        <w:pStyle w:val="ListBullet"/>
      </w:pPr>
      <w:r>
        <w:t>Record hardware (CPU/GPU model), RAM, PyTorch version, thread settings, and graph size.</w:t>
      </w:r>
    </w:p>
    <w:p>
      <w:pPr>
        <w:pStyle w:val="ListBullet"/>
      </w:pPr>
      <w:r>
        <w:t>Perform 5-10 warm-up runs before timing.</w:t>
      </w:r>
    </w:p>
    <w:p>
      <w:pPr>
        <w:pStyle w:val="ListBullet"/>
      </w:pPr>
      <w:r>
        <w:t>Perform at least 30 measured runs under the same conditions.</w:t>
      </w:r>
    </w:p>
    <w:p>
      <w:pPr>
        <w:pStyle w:val="ListBullet"/>
      </w:pPr>
      <w:r>
        <w:t>Report mean, median, standard deviation, P95 latency, and throughput (nodes/second or ms per 1,000 nodes).</w:t>
      </w:r>
    </w:p>
    <w:p>
      <w:pPr>
        <w:pStyle w:val="ListBullet"/>
      </w:pPr>
      <w:r>
        <w:t>Report model-only time separately from end-to-end API/Neo4j time.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88"/>
            <w:shd w:fill="D9EAF7"/>
            <w:tcMar>
              <w:top w:w="80" w:type="dxa"/>
              <w:start w:w="100" w:type="dxa"/>
              <w:bottom w:w="80" w:type="dxa"/>
              <w:end w:w="100" w:type="dxa"/>
            </w:tcMar>
            <w:vAlign w:val="center"/>
          </w:tcPr>
          <w:p>
            <w:r>
              <w:rPr>
                <w:b/>
                <w:sz w:val="18"/>
              </w:rPr>
              <w:t>Benchmark field</w:t>
            </w:r>
          </w:p>
        </w:tc>
        <w:tc>
          <w:tcPr>
            <w:tcW w:type="dxa" w:w="5616"/>
            <w:shd w:fill="D9EAF7"/>
            <w:tcMar>
              <w:top w:w="80" w:type="dxa"/>
              <w:start w:w="100" w:type="dxa"/>
              <w:bottom w:w="80" w:type="dxa"/>
              <w:end w:w="100" w:type="dxa"/>
            </w:tcMar>
            <w:vAlign w:val="center"/>
          </w:tcPr>
          <w:p>
            <w:r>
              <w:rPr>
                <w:b/>
                <w:sz w:val="18"/>
              </w:rPr>
              <w:t>Value to report after measurement</w:t>
            </w:r>
          </w:p>
        </w:tc>
      </w:tr>
      <w:tr>
        <w:trPr>
          <w:cantSplit/>
        </w:trPr>
        <w:tc>
          <w:tcPr>
            <w:tcW w:type="dxa" w:w="3888"/>
            <w:tcMar>
              <w:top w:w="80" w:type="dxa"/>
              <w:start w:w="100" w:type="dxa"/>
              <w:bottom w:w="80" w:type="dxa"/>
              <w:end w:w="100" w:type="dxa"/>
            </w:tcMar>
            <w:vAlign w:val="center"/>
          </w:tcPr>
          <w:p>
            <w:pPr>
              <w:spacing w:after="0"/>
            </w:pPr>
            <w:r>
              <w:rPr>
                <w:sz w:val="18"/>
              </w:rPr>
              <w:t>Graph/model scope</w:t>
            </w:r>
          </w:p>
        </w:tc>
        <w:tc>
          <w:tcPr>
            <w:tcW w:type="dxa" w:w="5616"/>
            <w:tcMar>
              <w:top w:w="80" w:type="dxa"/>
              <w:start w:w="100" w:type="dxa"/>
              <w:bottom w:w="80" w:type="dxa"/>
              <w:end w:w="100" w:type="dxa"/>
            </w:tcMar>
            <w:vAlign w:val="center"/>
          </w:tcPr>
          <w:p>
            <w:pPr>
              <w:spacing w:after="0"/>
            </w:pPr>
            <w:r>
              <w:rPr>
                <w:sz w:val="18"/>
              </w:rPr>
              <w:t>e.g., labelled validation graph or 210_King_Merged.ifc project scope</w:t>
            </w:r>
          </w:p>
        </w:tc>
      </w:tr>
      <w:tr>
        <w:trPr>
          <w:cantSplit/>
        </w:trPr>
        <w:tc>
          <w:tcPr>
            <w:tcW w:type="dxa" w:w="3888"/>
            <w:tcMar>
              <w:top w:w="80" w:type="dxa"/>
              <w:start w:w="100" w:type="dxa"/>
              <w:bottom w:w="80" w:type="dxa"/>
              <w:end w:w="100" w:type="dxa"/>
            </w:tcMar>
            <w:vAlign w:val="center"/>
            <w:shd w:fill="F7F9FB"/>
          </w:tcPr>
          <w:p>
            <w:pPr>
              <w:spacing w:after="0"/>
            </w:pPr>
            <w:r>
              <w:rPr>
                <w:sz w:val="18"/>
              </w:rPr>
              <w:t>Number of nodes / edges</w:t>
            </w:r>
          </w:p>
        </w:tc>
        <w:tc>
          <w:tcPr>
            <w:tcW w:type="dxa" w:w="5616"/>
            <w:tcMar>
              <w:top w:w="80" w:type="dxa"/>
              <w:start w:w="100" w:type="dxa"/>
              <w:bottom w:w="80" w:type="dxa"/>
              <w:end w:w="100" w:type="dxa"/>
            </w:tcMar>
            <w:vAlign w:val="center"/>
            <w:shd w:fill="F7F9FB"/>
          </w:tcPr>
          <w:p>
            <w:pPr>
              <w:spacing w:after="0"/>
            </w:pPr>
            <w:r>
              <w:rPr>
                <w:sz w:val="18"/>
              </w:rPr>
              <w:t>Measured value</w:t>
            </w:r>
          </w:p>
        </w:tc>
      </w:tr>
      <w:tr>
        <w:trPr>
          <w:cantSplit/>
        </w:trPr>
        <w:tc>
          <w:tcPr>
            <w:tcW w:type="dxa" w:w="3888"/>
            <w:tcMar>
              <w:top w:w="80" w:type="dxa"/>
              <w:start w:w="100" w:type="dxa"/>
              <w:bottom w:w="80" w:type="dxa"/>
              <w:end w:w="100" w:type="dxa"/>
            </w:tcMar>
            <w:vAlign w:val="center"/>
          </w:tcPr>
          <w:p>
            <w:pPr>
              <w:spacing w:after="0"/>
            </w:pPr>
            <w:r>
              <w:rPr>
                <w:sz w:val="18"/>
              </w:rPr>
              <w:t>Device</w:t>
            </w:r>
          </w:p>
        </w:tc>
        <w:tc>
          <w:tcPr>
            <w:tcW w:type="dxa" w:w="5616"/>
            <w:tcMar>
              <w:top w:w="80" w:type="dxa"/>
              <w:start w:w="100" w:type="dxa"/>
              <w:bottom w:w="80" w:type="dxa"/>
              <w:end w:w="100" w:type="dxa"/>
            </w:tcMar>
            <w:vAlign w:val="center"/>
          </w:tcPr>
          <w:p>
            <w:pPr>
              <w:spacing w:after="0"/>
            </w:pPr>
            <w:r>
              <w:rPr>
                <w:sz w:val="18"/>
              </w:rPr>
              <w:t>CPU or GPU + exact model</w:t>
            </w:r>
          </w:p>
        </w:tc>
      </w:tr>
      <w:tr>
        <w:trPr>
          <w:cantSplit/>
        </w:trPr>
        <w:tc>
          <w:tcPr>
            <w:tcW w:type="dxa" w:w="3888"/>
            <w:tcMar>
              <w:top w:w="80" w:type="dxa"/>
              <w:start w:w="100" w:type="dxa"/>
              <w:bottom w:w="80" w:type="dxa"/>
              <w:end w:w="100" w:type="dxa"/>
            </w:tcMar>
            <w:vAlign w:val="center"/>
            <w:shd w:fill="F7F9FB"/>
          </w:tcPr>
          <w:p>
            <w:pPr>
              <w:spacing w:after="0"/>
            </w:pPr>
            <w:r>
              <w:rPr>
                <w:sz w:val="18"/>
              </w:rPr>
              <w:t>Model forward pass</w:t>
            </w:r>
          </w:p>
        </w:tc>
        <w:tc>
          <w:tcPr>
            <w:tcW w:type="dxa" w:w="5616"/>
            <w:tcMar>
              <w:top w:w="80" w:type="dxa"/>
              <w:start w:w="100" w:type="dxa"/>
              <w:bottom w:w="80" w:type="dxa"/>
              <w:end w:w="100" w:type="dxa"/>
            </w:tcMar>
            <w:vAlign w:val="center"/>
            <w:shd w:fill="F7F9FB"/>
          </w:tcPr>
          <w:p>
            <w:pPr>
              <w:spacing w:after="0"/>
            </w:pPr>
            <w:r>
              <w:rPr>
                <w:sz w:val="18"/>
              </w:rPr>
              <w:t>xx ms</w:t>
            </w:r>
          </w:p>
        </w:tc>
      </w:tr>
      <w:tr>
        <w:trPr>
          <w:cantSplit/>
        </w:trPr>
        <w:tc>
          <w:tcPr>
            <w:tcW w:type="dxa" w:w="3888"/>
            <w:tcMar>
              <w:top w:w="80" w:type="dxa"/>
              <w:start w:w="100" w:type="dxa"/>
              <w:bottom w:w="80" w:type="dxa"/>
              <w:end w:w="100" w:type="dxa"/>
            </w:tcMar>
            <w:vAlign w:val="center"/>
          </w:tcPr>
          <w:p>
            <w:pPr>
              <w:spacing w:after="0"/>
            </w:pPr>
            <w:r>
              <w:rPr>
                <w:sz w:val="18"/>
              </w:rPr>
              <w:t>Feature + model inference</w:t>
            </w:r>
          </w:p>
        </w:tc>
        <w:tc>
          <w:tcPr>
            <w:tcW w:type="dxa" w:w="5616"/>
            <w:tcMar>
              <w:top w:w="80" w:type="dxa"/>
              <w:start w:w="100" w:type="dxa"/>
              <w:bottom w:w="80" w:type="dxa"/>
              <w:end w:w="100" w:type="dxa"/>
            </w:tcMar>
            <w:vAlign w:val="center"/>
          </w:tcPr>
          <w:p>
            <w:pPr>
              <w:spacing w:after="0"/>
            </w:pPr>
            <w:r>
              <w:rPr>
                <w:sz w:val="18"/>
              </w:rPr>
              <w:t>xx ms</w:t>
            </w:r>
          </w:p>
        </w:tc>
      </w:tr>
      <w:tr>
        <w:trPr>
          <w:cantSplit/>
        </w:trPr>
        <w:tc>
          <w:tcPr>
            <w:tcW w:type="dxa" w:w="3888"/>
            <w:tcMar>
              <w:top w:w="80" w:type="dxa"/>
              <w:start w:w="100" w:type="dxa"/>
              <w:bottom w:w="80" w:type="dxa"/>
              <w:end w:w="100" w:type="dxa"/>
            </w:tcMar>
            <w:vAlign w:val="center"/>
            <w:shd w:fill="F7F9FB"/>
          </w:tcPr>
          <w:p>
            <w:pPr>
              <w:spacing w:after="0"/>
            </w:pPr>
            <w:r>
              <w:rPr>
                <w:sz w:val="18"/>
              </w:rPr>
              <w:t>End-to-end incl. Neo4j</w:t>
            </w:r>
          </w:p>
        </w:tc>
        <w:tc>
          <w:tcPr>
            <w:tcW w:type="dxa" w:w="5616"/>
            <w:tcMar>
              <w:top w:w="80" w:type="dxa"/>
              <w:start w:w="100" w:type="dxa"/>
              <w:bottom w:w="80" w:type="dxa"/>
              <w:end w:w="100" w:type="dxa"/>
            </w:tcMar>
            <w:vAlign w:val="center"/>
            <w:shd w:fill="F7F9FB"/>
          </w:tcPr>
          <w:p>
            <w:pPr>
              <w:spacing w:after="0"/>
            </w:pPr>
            <w:r>
              <w:rPr>
                <w:sz w:val="18"/>
              </w:rPr>
              <w:t>xx ms</w:t>
            </w:r>
          </w:p>
        </w:tc>
      </w:tr>
      <w:tr>
        <w:trPr>
          <w:cantSplit/>
        </w:trPr>
        <w:tc>
          <w:tcPr>
            <w:tcW w:type="dxa" w:w="3888"/>
            <w:tcMar>
              <w:top w:w="80" w:type="dxa"/>
              <w:start w:w="100" w:type="dxa"/>
              <w:bottom w:w="80" w:type="dxa"/>
              <w:end w:w="100" w:type="dxa"/>
            </w:tcMar>
            <w:vAlign w:val="center"/>
          </w:tcPr>
          <w:p>
            <w:pPr>
              <w:spacing w:after="0"/>
            </w:pPr>
            <w:r>
              <w:rPr>
                <w:sz w:val="18"/>
              </w:rPr>
              <w:t>Median / P95</w:t>
            </w:r>
          </w:p>
        </w:tc>
        <w:tc>
          <w:tcPr>
            <w:tcW w:type="dxa" w:w="5616"/>
            <w:tcMar>
              <w:top w:w="80" w:type="dxa"/>
              <w:start w:w="100" w:type="dxa"/>
              <w:bottom w:w="80" w:type="dxa"/>
              <w:end w:w="100" w:type="dxa"/>
            </w:tcMar>
            <w:vAlign w:val="center"/>
          </w:tcPr>
          <w:p>
            <w:pPr>
              <w:spacing w:after="0"/>
            </w:pPr>
            <w:r>
              <w:rPr>
                <w:sz w:val="18"/>
              </w:rPr>
              <w:t>xx ms / xx ms</w:t>
            </w:r>
          </w:p>
        </w:tc>
      </w:tr>
      <w:tr>
        <w:trPr>
          <w:cantSplit/>
        </w:trPr>
        <w:tc>
          <w:tcPr>
            <w:tcW w:type="dxa" w:w="3888"/>
            <w:tcMar>
              <w:top w:w="80" w:type="dxa"/>
              <w:start w:w="100" w:type="dxa"/>
              <w:bottom w:w="80" w:type="dxa"/>
              <w:end w:w="100" w:type="dxa"/>
            </w:tcMar>
            <w:vAlign w:val="center"/>
            <w:shd w:fill="F7F9FB"/>
          </w:tcPr>
          <w:p>
            <w:pPr>
              <w:spacing w:after="0"/>
            </w:pPr>
            <w:r>
              <w:rPr>
                <w:sz w:val="18"/>
              </w:rPr>
              <w:t>Throughput</w:t>
            </w:r>
          </w:p>
        </w:tc>
        <w:tc>
          <w:tcPr>
            <w:tcW w:type="dxa" w:w="5616"/>
            <w:tcMar>
              <w:top w:w="80" w:type="dxa"/>
              <w:start w:w="100" w:type="dxa"/>
              <w:bottom w:w="80" w:type="dxa"/>
              <w:end w:w="100" w:type="dxa"/>
            </w:tcMar>
            <w:vAlign w:val="center"/>
            <w:shd w:fill="F7F9FB"/>
          </w:tcPr>
          <w:p>
            <w:pPr>
              <w:spacing w:after="0"/>
            </w:pPr>
            <w:r>
              <w:rPr>
                <w:sz w:val="18"/>
              </w:rPr>
              <w:t>xx nodes/s</w:t>
            </w:r>
          </w:p>
        </w:tc>
      </w:tr>
    </w:tbl>
    <w:p>
      <w:pPr>
        <w:spacing w:after="20"/>
      </w:pPr>
    </w:p>
    <w:p>
      <w:pPr>
        <w:pStyle w:val="Heading1"/>
      </w:pPr>
      <w:r>
        <w:t>9. Interpretation Relative to Clash Detection</w:t>
      </w:r>
    </w:p>
    <w:p>
      <w:r>
        <w:t>The deterministic clash engine remains the authoritative issue detector. It classifies AABB overlap as CLASH and sub-threshold envelope separation as CLEARANCE_VIOLATION. The anomaly model is a separate unsupervised signal. It can make a clash easier to prioritize for review if one or both involved elements are anomalous, but it cannot change the deterministic issue label or metric.</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6048"/>
            <w:shd w:fill="D9EAF7"/>
            <w:tcMar>
              <w:top w:w="80" w:type="dxa"/>
              <w:start w:w="100" w:type="dxa"/>
              <w:bottom w:w="80" w:type="dxa"/>
              <w:end w:w="100" w:type="dxa"/>
            </w:tcMar>
            <w:vAlign w:val="center"/>
          </w:tcPr>
          <w:p>
            <w:r>
              <w:rPr>
                <w:b/>
                <w:sz w:val="18"/>
              </w:rPr>
              <w:t>Question</w:t>
            </w:r>
          </w:p>
        </w:tc>
        <w:tc>
          <w:tcPr>
            <w:tcW w:type="dxa" w:w="3312"/>
            <w:shd w:fill="D9EAF7"/>
            <w:tcMar>
              <w:top w:w="80" w:type="dxa"/>
              <w:start w:w="100" w:type="dxa"/>
              <w:bottom w:w="80" w:type="dxa"/>
              <w:end w:w="100" w:type="dxa"/>
            </w:tcMar>
            <w:vAlign w:val="center"/>
          </w:tcPr>
          <w:p>
            <w:r>
              <w:rPr>
                <w:b/>
                <w:sz w:val="18"/>
              </w:rPr>
              <w:t>Answered by</w:t>
            </w:r>
          </w:p>
        </w:tc>
      </w:tr>
      <w:tr>
        <w:trPr>
          <w:cantSplit/>
        </w:trPr>
        <w:tc>
          <w:tcPr>
            <w:tcW w:type="dxa" w:w="6048"/>
            <w:tcMar>
              <w:top w:w="80" w:type="dxa"/>
              <w:start w:w="100" w:type="dxa"/>
              <w:bottom w:w="80" w:type="dxa"/>
              <w:end w:w="100" w:type="dxa"/>
            </w:tcMar>
            <w:vAlign w:val="center"/>
          </w:tcPr>
          <w:p>
            <w:pPr>
              <w:spacing w:after="0"/>
            </w:pPr>
            <w:r>
              <w:rPr>
                <w:sz w:val="18"/>
              </w:rPr>
              <w:t>Do these two elements geometrically clash under the implemented AABB rule?</w:t>
            </w:r>
          </w:p>
        </w:tc>
        <w:tc>
          <w:tcPr>
            <w:tcW w:type="dxa" w:w="3312"/>
            <w:tcMar>
              <w:top w:w="80" w:type="dxa"/>
              <w:start w:w="100" w:type="dxa"/>
              <w:bottom w:w="80" w:type="dxa"/>
              <w:end w:w="100" w:type="dxa"/>
            </w:tcMar>
            <w:vAlign w:val="center"/>
          </w:tcPr>
          <w:p>
            <w:pPr>
              <w:spacing w:after="0"/>
            </w:pPr>
            <w:r>
              <w:rPr>
                <w:sz w:val="18"/>
              </w:rPr>
              <w:t>Deterministic clash engine</w:t>
            </w:r>
          </w:p>
        </w:tc>
      </w:tr>
      <w:tr>
        <w:trPr>
          <w:cantSplit/>
        </w:trPr>
        <w:tc>
          <w:tcPr>
            <w:tcW w:type="dxa" w:w="6048"/>
            <w:tcMar>
              <w:top w:w="80" w:type="dxa"/>
              <w:start w:w="100" w:type="dxa"/>
              <w:bottom w:w="80" w:type="dxa"/>
              <w:end w:w="100" w:type="dxa"/>
            </w:tcMar>
            <w:vAlign w:val="center"/>
            <w:shd w:fill="F7F9FB"/>
          </w:tcPr>
          <w:p>
            <w:pPr>
              <w:spacing w:after="0"/>
            </w:pPr>
            <w:r>
              <w:rPr>
                <w:sz w:val="18"/>
              </w:rPr>
              <w:t>Is this element unusual relative to learned graph/feature patterns?</w:t>
            </w:r>
          </w:p>
        </w:tc>
        <w:tc>
          <w:tcPr>
            <w:tcW w:type="dxa" w:w="3312"/>
            <w:tcMar>
              <w:top w:w="80" w:type="dxa"/>
              <w:start w:w="100" w:type="dxa"/>
              <w:bottom w:w="80" w:type="dxa"/>
              <w:end w:w="100" w:type="dxa"/>
            </w:tcMar>
            <w:vAlign w:val="center"/>
            <w:shd w:fill="F7F9FB"/>
          </w:tcPr>
          <w:p>
            <w:pPr>
              <w:spacing w:after="0"/>
            </w:pPr>
            <w:r>
              <w:rPr>
                <w:sz w:val="18"/>
              </w:rPr>
              <w:t>GCN anomaly model</w:t>
            </w:r>
          </w:p>
        </w:tc>
      </w:tr>
      <w:tr>
        <w:trPr>
          <w:cantSplit/>
        </w:trPr>
        <w:tc>
          <w:tcPr>
            <w:tcW w:type="dxa" w:w="6048"/>
            <w:tcMar>
              <w:top w:w="80" w:type="dxa"/>
              <w:start w:w="100" w:type="dxa"/>
              <w:bottom w:w="80" w:type="dxa"/>
              <w:end w:w="100" w:type="dxa"/>
            </w:tcMar>
            <w:vAlign w:val="center"/>
          </w:tcPr>
          <w:p>
            <w:pPr>
              <w:spacing w:after="0"/>
            </w:pPr>
            <w:r>
              <w:rPr>
                <w:sz w:val="18"/>
              </w:rPr>
              <w:t>Which detected issue may deserve earlier human review?</w:t>
            </w:r>
          </w:p>
        </w:tc>
        <w:tc>
          <w:tcPr>
            <w:tcW w:type="dxa" w:w="3312"/>
            <w:tcMar>
              <w:top w:w="80" w:type="dxa"/>
              <w:start w:w="100" w:type="dxa"/>
              <w:bottom w:w="80" w:type="dxa"/>
              <w:end w:w="100" w:type="dxa"/>
            </w:tcMar>
            <w:vAlign w:val="center"/>
          </w:tcPr>
          <w:p>
            <w:pPr>
              <w:spacing w:after="0"/>
            </w:pPr>
            <w:r>
              <w:rPr>
                <w:sz w:val="18"/>
              </w:rPr>
              <w:t>Deterministic issue + optional anomaly scores</w:t>
            </w:r>
          </w:p>
        </w:tc>
      </w:tr>
    </w:tbl>
    <w:p>
      <w:pPr>
        <w:spacing w:after="20"/>
      </w:pPr>
    </w:p>
    <w:p>
      <w:r>
        <w:t>When anomaly inference is enabled, the system can persist anomalyScore, anomalyFeatureError, anomalyStructuralError, and isAnomaly on nodes. Issue relationships may additionally receive anomaly scores for both endpoints and a combined anomaly score. By design, the rule-based issue and metric remain unchanged.</w:t>
      </w:r>
    </w:p>
    <w:p>
      <w:pPr>
        <w:pStyle w:val="Heading1"/>
      </w:pPr>
      <w:r>
        <w:t>10. What the Current Results Do Prove - and What They Do Not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896"/>
            <w:shd w:fill="D9EAF7"/>
            <w:tcMar>
              <w:top w:w="80" w:type="dxa"/>
              <w:start w:w="100" w:type="dxa"/>
              <w:bottom w:w="80" w:type="dxa"/>
              <w:end w:w="100" w:type="dxa"/>
            </w:tcMar>
            <w:vAlign w:val="center"/>
          </w:tcPr>
          <w:p>
            <w:r>
              <w:rPr>
                <w:b/>
                <w:sz w:val="17"/>
              </w:rPr>
              <w:t>Supported by current evidence</w:t>
            </w:r>
          </w:p>
        </w:tc>
        <w:tc>
          <w:tcPr>
            <w:tcW w:type="dxa" w:w="4896"/>
            <w:shd w:fill="D9EAF7"/>
            <w:tcMar>
              <w:top w:w="80" w:type="dxa"/>
              <w:start w:w="100" w:type="dxa"/>
              <w:bottom w:w="80" w:type="dxa"/>
              <w:end w:w="100" w:type="dxa"/>
            </w:tcMar>
            <w:vAlign w:val="center"/>
          </w:tcPr>
          <w:p>
            <w:r>
              <w:rPr>
                <w:b/>
                <w:sz w:val="17"/>
              </w:rPr>
              <w:t>Not supported yet</w:t>
            </w:r>
          </w:p>
        </w:tc>
      </w:tr>
      <w:tr>
        <w:trPr>
          <w:cantSplit/>
        </w:trPr>
        <w:tc>
          <w:tcPr>
            <w:tcW w:type="dxa" w:w="4896"/>
            <w:tcMar>
              <w:top w:w="80" w:type="dxa"/>
              <w:start w:w="100" w:type="dxa"/>
              <w:bottom w:w="80" w:type="dxa"/>
              <w:end w:w="100" w:type="dxa"/>
            </w:tcMar>
            <w:vAlign w:val="center"/>
          </w:tcPr>
          <w:p>
            <w:pPr>
              <w:spacing w:after="0"/>
            </w:pPr>
            <w:r>
              <w:rPr>
                <w:sz w:val="17"/>
              </w:rPr>
              <w:t>The GCN autoencoder trained for 100 epochs with steadily decreasing reconstruction losses.</w:t>
            </w:r>
          </w:p>
        </w:tc>
        <w:tc>
          <w:tcPr>
            <w:tcW w:type="dxa" w:w="4896"/>
            <w:tcMar>
              <w:top w:w="80" w:type="dxa"/>
              <w:start w:w="100" w:type="dxa"/>
              <w:bottom w:w="80" w:type="dxa"/>
              <w:end w:w="100" w:type="dxa"/>
            </w:tcMar>
            <w:vAlign w:val="center"/>
          </w:tcPr>
          <w:p>
            <w:pPr>
              <w:spacing w:after="0"/>
            </w:pPr>
            <w:r>
              <w:rPr>
                <w:sz w:val="17"/>
              </w:rPr>
              <w:t>A claim that the model has a specific anomaly-detection accuracy.</w:t>
            </w:r>
          </w:p>
        </w:tc>
      </w:tr>
      <w:tr>
        <w:trPr>
          <w:cantSplit/>
        </w:trPr>
        <w:tc>
          <w:tcPr>
            <w:tcW w:type="dxa" w:w="4896"/>
            <w:tcMar>
              <w:top w:w="80" w:type="dxa"/>
              <w:start w:w="100" w:type="dxa"/>
              <w:bottom w:w="80" w:type="dxa"/>
              <w:end w:w="100" w:type="dxa"/>
            </w:tcMar>
            <w:vAlign w:val="center"/>
            <w:shd w:fill="F7F9FB"/>
          </w:tcPr>
          <w:p>
            <w:pPr>
              <w:spacing w:after="0"/>
            </w:pPr>
            <w:r>
              <w:rPr>
                <w:sz w:val="17"/>
              </w:rPr>
              <w:t>The model produces continuous reconstruction-based anomaly scores.</w:t>
            </w:r>
          </w:p>
        </w:tc>
        <w:tc>
          <w:tcPr>
            <w:tcW w:type="dxa" w:w="4896"/>
            <w:tcMar>
              <w:top w:w="80" w:type="dxa"/>
              <w:start w:w="100" w:type="dxa"/>
              <w:bottom w:w="80" w:type="dxa"/>
              <w:end w:w="100" w:type="dxa"/>
            </w:tcMar>
            <w:vAlign w:val="center"/>
            <w:shd w:fill="F7F9FB"/>
          </w:tcPr>
          <w:p>
            <w:pPr>
              <w:spacing w:after="0"/>
            </w:pPr>
            <w:r>
              <w:rPr>
                <w:sz w:val="17"/>
              </w:rPr>
              <w:t>ROC-AUC/PR-AUC without labelled validation data.</w:t>
            </w:r>
          </w:p>
        </w:tc>
      </w:tr>
      <w:tr>
        <w:trPr>
          <w:cantSplit/>
        </w:trPr>
        <w:tc>
          <w:tcPr>
            <w:tcW w:type="dxa" w:w="4896"/>
            <w:tcMar>
              <w:top w:w="80" w:type="dxa"/>
              <w:start w:w="100" w:type="dxa"/>
              <w:bottom w:w="80" w:type="dxa"/>
              <w:end w:w="100" w:type="dxa"/>
            </w:tcMar>
            <w:vAlign w:val="center"/>
          </w:tcPr>
          <w:p>
            <w:pPr>
              <w:spacing w:after="0"/>
            </w:pPr>
            <w:r>
              <w:rPr>
                <w:sz w:val="17"/>
              </w:rPr>
              <w:t>The current triage cutoff is the 99th-percentile threshold (0.7904).</w:t>
            </w:r>
          </w:p>
        </w:tc>
        <w:tc>
          <w:tcPr>
            <w:tcW w:type="dxa" w:w="4896"/>
            <w:tcMar>
              <w:top w:w="80" w:type="dxa"/>
              <w:start w:w="100" w:type="dxa"/>
              <w:bottom w:w="80" w:type="dxa"/>
              <w:end w:w="100" w:type="dxa"/>
            </w:tcMar>
            <w:vAlign w:val="center"/>
          </w:tcPr>
          <w:p>
            <w:pPr>
              <w:spacing w:after="0"/>
            </w:pPr>
            <w:r>
              <w:rPr>
                <w:sz w:val="17"/>
              </w:rPr>
              <w:t>A claim that the 99th percentile equals 99% accuracy.</w:t>
            </w:r>
          </w:p>
        </w:tc>
      </w:tr>
      <w:tr>
        <w:trPr>
          <w:cantSplit/>
        </w:trPr>
        <w:tc>
          <w:tcPr>
            <w:tcW w:type="dxa" w:w="4896"/>
            <w:tcMar>
              <w:top w:w="80" w:type="dxa"/>
              <w:start w:w="100" w:type="dxa"/>
              <w:bottom w:w="80" w:type="dxa"/>
              <w:end w:w="100" w:type="dxa"/>
            </w:tcMar>
            <w:vAlign w:val="center"/>
            <w:shd w:fill="F7F9FB"/>
          </w:tcPr>
          <w:p>
            <w:pPr>
              <w:spacing w:after="0"/>
            </w:pPr>
            <w:r>
              <w:rPr>
                <w:sz w:val="17"/>
              </w:rPr>
              <w:t>The architecture separates deterministic engineering rules from ML prioritization.</w:t>
            </w:r>
          </w:p>
        </w:tc>
        <w:tc>
          <w:tcPr>
            <w:tcW w:type="dxa" w:w="4896"/>
            <w:tcMar>
              <w:top w:w="80" w:type="dxa"/>
              <w:start w:w="100" w:type="dxa"/>
              <w:bottom w:w="80" w:type="dxa"/>
              <w:end w:w="100" w:type="dxa"/>
            </w:tcMar>
            <w:vAlign w:val="center"/>
            <w:shd w:fill="F7F9FB"/>
          </w:tcPr>
          <w:p>
            <w:pPr>
              <w:spacing w:after="0"/>
            </w:pPr>
            <w:r>
              <w:rPr>
                <w:sz w:val="17"/>
              </w:rPr>
              <w:t>Precision, Recall, F1, TP/TN/FP/FN without expert ground truth.</w:t>
            </w:r>
          </w:p>
        </w:tc>
      </w:tr>
      <w:tr>
        <w:trPr>
          <w:cantSplit/>
        </w:trPr>
        <w:tc>
          <w:tcPr>
            <w:tcW w:type="dxa" w:w="4896"/>
            <w:tcMar>
              <w:top w:w="80" w:type="dxa"/>
              <w:start w:w="100" w:type="dxa"/>
              <w:bottom w:w="80" w:type="dxa"/>
              <w:end w:w="100" w:type="dxa"/>
            </w:tcMar>
            <w:vAlign w:val="center"/>
          </w:tcPr>
          <w:p>
            <w:pPr>
              <w:spacing w:after="0"/>
            </w:pPr>
            <w:r>
              <w:rPr>
                <w:sz w:val="17"/>
              </w:rPr>
              <w:t>The supplied run was configured on CPU.</w:t>
            </w:r>
          </w:p>
        </w:tc>
        <w:tc>
          <w:tcPr>
            <w:tcW w:type="dxa" w:w="4896"/>
            <w:tcMar>
              <w:top w:w="80" w:type="dxa"/>
              <w:start w:w="100" w:type="dxa"/>
              <w:bottom w:w="80" w:type="dxa"/>
              <w:end w:w="100" w:type="dxa"/>
            </w:tcMar>
            <w:vAlign w:val="center"/>
          </w:tcPr>
          <w:p>
            <w:pPr>
              <w:spacing w:after="0"/>
            </w:pPr>
            <w:r>
              <w:rPr>
                <w:sz w:val="17"/>
              </w:rPr>
              <w:t>A specific production inference-time number without a benchmark.</w:t>
            </w:r>
          </w:p>
        </w:tc>
      </w:tr>
    </w:tbl>
    <w:p>
      <w:pPr>
        <w:spacing w:after="20"/>
      </w:pPr>
    </w:p>
    <w:p>
      <w:pPr>
        <w:pStyle w:val="Heading1"/>
      </w:pPr>
      <w:r>
        <w:t>11. Suggested Wording for Client / Professor</w:t>
      </w:r>
    </w:p>
    <w:p>
      <w:pPr>
        <w:ind w:left="360" w:right="360"/>
      </w:pPr>
      <w:r>
        <w:rPr>
          <w:i/>
        </w:rPr>
        <w:t>“BIM-Intellect uses a sparse Graph Convolutional Network autoencoder as an unsupervised anomaly-detection layer over the IFC/Neo4j building graph. The model learns geometric, semantic, and graph-relational patterns and assigns higher scores to elements that are harder to reconstruct. The current model uses two GCN encoder layers, a 64-dimensional hidden representation and a 16-dimensional latent representation. Across 100 epochs, total reconstruction loss decreased by approximately 46.2%, feature reconstruction loss by 52.9%, and structural reconstruction loss by 40.8%. Anomaly triage currently uses a 99th-percentile threshold of 0.7904. The anomaly subsystem is intentionally separated from the deterministic clash engine and does not alter clash classifications.”</w:t>
      </w:r>
    </w:p>
    <w:p>
      <w:pPr>
        <w:ind w:left="360" w:right="360"/>
      </w:pPr>
      <w:r>
        <w:rPr>
          <w:i/>
        </w:rPr>
        <w:t>“At this stage, the repository does not contain expert-reviewed anomaly ground-truth labels. Consequently, supervised performance measures such as ROC-AUC, Recall, Precision, F1, TP, FP, TN, and FN cannot yet be reported scientifically. The correct next step is to construct an independent labelled validation set, evaluate the continuous anomaly scores using ROC-AUC and PR-AUC, compute the confusion matrix and threshold-based metrics at the deployed cutoff, and separately benchmark model-only and end-to-end inference latency under a documented hardware configuration.”</w:t>
      </w:r>
    </w:p>
    <w:p>
      <w:pPr>
        <w:pStyle w:val="Heading1"/>
      </w:pPr>
      <w:r>
        <w:t>12. Recommended Next Deliverables</w:t>
      </w:r>
    </w:p>
    <w:p>
      <w:pPr>
        <w:pStyle w:val="ListBullet"/>
      </w:pPr>
      <w:r>
        <w:t>A labelled anomaly-validation CSV containing element identifier, project/source model, expert label, anomaly score, and review notes.</w:t>
      </w:r>
    </w:p>
    <w:p>
      <w:pPr>
        <w:pStyle w:val="ListBullet"/>
      </w:pPr>
      <w:r>
        <w:t>A confusion-matrix report at the current 0.7904 threshold.</w:t>
      </w:r>
    </w:p>
    <w:p>
      <w:pPr>
        <w:pStyle w:val="ListBullet"/>
      </w:pPr>
      <w:r>
        <w:t>ROC and Precision-Recall curves with AUC values.</w:t>
      </w:r>
    </w:p>
    <w:p>
      <w:pPr>
        <w:pStyle w:val="ListBullet"/>
      </w:pPr>
      <w:r>
        <w:t>Recall, Precision, Specificity, FPR, F1, and class-prevalence table.</w:t>
      </w:r>
    </w:p>
    <w:p>
      <w:pPr>
        <w:pStyle w:val="ListBullet"/>
      </w:pPr>
      <w:r>
        <w:t>CPU inference benchmark with model-only and end-to-end timing.</w:t>
      </w:r>
    </w:p>
    <w:p>
      <w:pPr>
        <w:pStyle w:val="ListBullet"/>
      </w:pPr>
      <w:r>
        <w:t>A versioned evaluation report tying every result to the exact checkpoint, feature schema, dataset split, and software/hardware environment.</w:t>
      </w:r>
    </w:p>
    <w:p>
      <w:pPr>
        <w:pStyle w:val="Heading1"/>
      </w:pPr>
      <w:r>
        <w:t>13. Source Basis</w:t>
      </w:r>
    </w:p>
    <w:p>
      <w:r>
        <w:t>This note is grounded in the supplied BIM-Intellect project documentation and training artifact. No unsupported AUC/Recall/inference values have been invented.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D9EAF7"/>
            <w:tcMar>
              <w:top w:w="80" w:type="dxa"/>
              <w:start w:w="100" w:type="dxa"/>
              <w:bottom w:w="80" w:type="dxa"/>
              <w:end w:w="100" w:type="dxa"/>
            </w:tcMar>
            <w:vAlign w:val="center"/>
          </w:tcPr>
          <w:p>
            <w:r>
              <w:rPr>
                <w:b/>
                <w:sz w:val="16"/>
              </w:rPr>
              <w:t>Ref.</w:t>
            </w:r>
          </w:p>
        </w:tc>
        <w:tc>
          <w:tcPr>
            <w:tcW w:type="dxa" w:w="3888"/>
            <w:shd w:fill="D9EAF7"/>
            <w:tcMar>
              <w:top w:w="80" w:type="dxa"/>
              <w:start w:w="100" w:type="dxa"/>
              <w:bottom w:w="80" w:type="dxa"/>
              <w:end w:w="100" w:type="dxa"/>
            </w:tcMar>
            <w:vAlign w:val="center"/>
          </w:tcPr>
          <w:p>
            <w:r>
              <w:rPr>
                <w:b/>
                <w:sz w:val="16"/>
              </w:rPr>
              <w:t>Source</w:t>
            </w:r>
          </w:p>
        </w:tc>
        <w:tc>
          <w:tcPr>
            <w:tcW w:type="dxa" w:w="5328"/>
            <w:shd w:fill="D9EAF7"/>
            <w:tcMar>
              <w:top w:w="80" w:type="dxa"/>
              <w:start w:w="100" w:type="dxa"/>
              <w:bottom w:w="80" w:type="dxa"/>
              <w:end w:w="100" w:type="dxa"/>
            </w:tcMar>
            <w:vAlign w:val="center"/>
          </w:tcPr>
          <w:p>
            <w:r>
              <w:rPr>
                <w:b/>
                <w:sz w:val="16"/>
              </w:rPr>
              <w:t>Used for</w:t>
            </w:r>
          </w:p>
        </w:tc>
      </w:tr>
      <w:tr>
        <w:trPr>
          <w:cantSplit/>
        </w:trPr>
        <w:tc>
          <w:tcPr>
            <w:tcW w:type="dxa" w:w="864"/>
            <w:tcMar>
              <w:top w:w="80" w:type="dxa"/>
              <w:start w:w="100" w:type="dxa"/>
              <w:bottom w:w="80" w:type="dxa"/>
              <w:end w:w="100" w:type="dxa"/>
            </w:tcMar>
            <w:vAlign w:val="center"/>
          </w:tcPr>
          <w:p>
            <w:pPr>
              <w:spacing w:after="0"/>
            </w:pPr>
            <w:r>
              <w:rPr>
                <w:sz w:val="16"/>
              </w:rPr>
              <w:t>S1</w:t>
            </w:r>
          </w:p>
        </w:tc>
        <w:tc>
          <w:tcPr>
            <w:tcW w:type="dxa" w:w="3888"/>
            <w:tcMar>
              <w:top w:w="80" w:type="dxa"/>
              <w:start w:w="100" w:type="dxa"/>
              <w:bottom w:w="80" w:type="dxa"/>
              <w:end w:w="100" w:type="dxa"/>
            </w:tcMar>
            <w:vAlign w:val="center"/>
          </w:tcPr>
          <w:p>
            <w:pPr>
              <w:spacing w:after="0"/>
            </w:pPr>
            <w:r>
              <w:rPr>
                <w:sz w:val="16"/>
              </w:rPr>
              <w:t>BIM-Intellect v2 - Integrated Project Report (report date 2026-09-05).</w:t>
            </w:r>
          </w:p>
        </w:tc>
        <w:tc>
          <w:tcPr>
            <w:tcW w:type="dxa" w:w="5328"/>
            <w:tcMar>
              <w:top w:w="80" w:type="dxa"/>
              <w:start w:w="100" w:type="dxa"/>
              <w:bottom w:w="80" w:type="dxa"/>
              <w:end w:w="100" w:type="dxa"/>
            </w:tcMar>
            <w:vAlign w:val="center"/>
          </w:tcPr>
          <w:p>
            <w:pPr>
              <w:spacing w:after="0"/>
            </w:pPr>
            <w:r>
              <w:rPr>
                <w:sz w:val="16"/>
              </w:rPr>
              <w:t>System architecture, graph anomaly role, documented two-building 12,311-node artifact, limitations, and separation from deterministic clash detection.</w:t>
            </w:r>
          </w:p>
        </w:tc>
      </w:tr>
      <w:tr>
        <w:trPr>
          <w:cantSplit/>
        </w:trPr>
        <w:tc>
          <w:tcPr>
            <w:tcW w:type="dxa" w:w="864"/>
            <w:tcMar>
              <w:top w:w="80" w:type="dxa"/>
              <w:start w:w="100" w:type="dxa"/>
              <w:bottom w:w="80" w:type="dxa"/>
              <w:end w:w="100" w:type="dxa"/>
            </w:tcMar>
            <w:vAlign w:val="center"/>
            <w:shd w:fill="F7F9FB"/>
          </w:tcPr>
          <w:p>
            <w:pPr>
              <w:spacing w:after="0"/>
            </w:pPr>
            <w:r>
              <w:rPr>
                <w:sz w:val="16"/>
              </w:rPr>
              <w:t>S2</w:t>
            </w:r>
          </w:p>
        </w:tc>
        <w:tc>
          <w:tcPr>
            <w:tcW w:type="dxa" w:w="3888"/>
            <w:tcMar>
              <w:top w:w="80" w:type="dxa"/>
              <w:start w:w="100" w:type="dxa"/>
              <w:bottom w:w="80" w:type="dxa"/>
              <w:end w:w="100" w:type="dxa"/>
            </w:tcMar>
            <w:vAlign w:val="center"/>
            <w:shd w:fill="F7F9FB"/>
          </w:tcPr>
          <w:p>
            <w:pPr>
              <w:spacing w:after="0"/>
            </w:pPr>
            <w:r>
              <w:rPr>
                <w:sz w:val="16"/>
              </w:rPr>
              <w:t>BIM-Intellect v2 - README.</w:t>
            </w:r>
          </w:p>
        </w:tc>
        <w:tc>
          <w:tcPr>
            <w:tcW w:type="dxa" w:w="5328"/>
            <w:tcMar>
              <w:top w:w="80" w:type="dxa"/>
              <w:start w:w="100" w:type="dxa"/>
              <w:bottom w:w="80" w:type="dxa"/>
              <w:end w:w="100" w:type="dxa"/>
            </w:tcMar>
            <w:vAlign w:val="center"/>
            <w:shd w:fill="F7F9FB"/>
          </w:tcPr>
          <w:p>
            <w:pPr>
              <w:spacing w:after="0"/>
            </w:pPr>
            <w:r>
              <w:rPr>
                <w:sz w:val="16"/>
              </w:rPr>
              <w:t>High-level architecture, optional sparse-GCN anomaly scoring, technology stack, verification summary.</w:t>
            </w:r>
          </w:p>
        </w:tc>
      </w:tr>
      <w:tr>
        <w:trPr>
          <w:cantSplit/>
        </w:trPr>
        <w:tc>
          <w:tcPr>
            <w:tcW w:type="dxa" w:w="864"/>
            <w:tcMar>
              <w:top w:w="80" w:type="dxa"/>
              <w:start w:w="100" w:type="dxa"/>
              <w:bottom w:w="80" w:type="dxa"/>
              <w:end w:w="100" w:type="dxa"/>
            </w:tcMar>
            <w:vAlign w:val="center"/>
          </w:tcPr>
          <w:p>
            <w:pPr>
              <w:spacing w:after="0"/>
            </w:pPr>
            <w:r>
              <w:rPr>
                <w:sz w:val="16"/>
              </w:rPr>
              <w:t>S3</w:t>
            </w:r>
          </w:p>
        </w:tc>
        <w:tc>
          <w:tcPr>
            <w:tcW w:type="dxa" w:w="3888"/>
            <w:tcMar>
              <w:top w:w="80" w:type="dxa"/>
              <w:start w:w="100" w:type="dxa"/>
              <w:bottom w:w="80" w:type="dxa"/>
              <w:end w:w="100" w:type="dxa"/>
            </w:tcMar>
            <w:vAlign w:val="center"/>
          </w:tcPr>
          <w:p>
            <w:pPr>
              <w:spacing w:after="0"/>
            </w:pPr>
            <w:r>
              <w:rPr>
                <w:sz w:val="16"/>
              </w:rPr>
              <w:t>BIM-Intellect v2 - System Documentation, version 2.4 (updated 2026-09-05).</w:t>
            </w:r>
          </w:p>
        </w:tc>
        <w:tc>
          <w:tcPr>
            <w:tcW w:type="dxa" w:w="5328"/>
            <w:tcMar>
              <w:top w:w="80" w:type="dxa"/>
              <w:start w:w="100" w:type="dxa"/>
              <w:bottom w:w="80" w:type="dxa"/>
              <w:end w:w="100" w:type="dxa"/>
            </w:tcMar>
            <w:vAlign w:val="center"/>
          </w:tcPr>
          <w:p>
            <w:pPr>
              <w:spacing w:after="0"/>
            </w:pPr>
            <w:r>
              <w:rPr>
                <w:sz w:val="16"/>
              </w:rPr>
              <w:t>Detailed graph anomaly features, model/training defaults, leakage prevention, inference integration, and evaluation limitation.</w:t>
            </w:r>
          </w:p>
        </w:tc>
      </w:tr>
      <w:tr>
        <w:trPr>
          <w:cantSplit/>
        </w:trPr>
        <w:tc>
          <w:tcPr>
            <w:tcW w:type="dxa" w:w="864"/>
            <w:tcMar>
              <w:top w:w="80" w:type="dxa"/>
              <w:start w:w="100" w:type="dxa"/>
              <w:bottom w:w="80" w:type="dxa"/>
              <w:end w:w="100" w:type="dxa"/>
            </w:tcMar>
            <w:vAlign w:val="center"/>
            <w:shd w:fill="F7F9FB"/>
          </w:tcPr>
          <w:p>
            <w:pPr>
              <w:spacing w:after="0"/>
            </w:pPr>
            <w:r>
              <w:rPr>
                <w:sz w:val="16"/>
              </w:rPr>
              <w:t>S4</w:t>
            </w:r>
          </w:p>
        </w:tc>
        <w:tc>
          <w:tcPr>
            <w:tcW w:type="dxa" w:w="3888"/>
            <w:tcMar>
              <w:top w:w="80" w:type="dxa"/>
              <w:start w:w="100" w:type="dxa"/>
              <w:bottom w:w="80" w:type="dxa"/>
              <w:end w:w="100" w:type="dxa"/>
            </w:tcMar>
            <w:vAlign w:val="center"/>
            <w:shd w:fill="F7F9FB"/>
          </w:tcPr>
          <w:p>
            <w:pPr>
              <w:spacing w:after="0"/>
            </w:pPr>
            <w:r>
              <w:rPr>
                <w:sz w:val="16"/>
              </w:rPr>
              <w:t>training_history.json.</w:t>
            </w:r>
          </w:p>
        </w:tc>
        <w:tc>
          <w:tcPr>
            <w:tcW w:type="dxa" w:w="5328"/>
            <w:tcMar>
              <w:top w:w="80" w:type="dxa"/>
              <w:start w:w="100" w:type="dxa"/>
              <w:bottom w:w="80" w:type="dxa"/>
              <w:end w:w="100" w:type="dxa"/>
            </w:tcMar>
            <w:vAlign w:val="center"/>
            <w:shd w:fill="F7F9FB"/>
          </w:tcPr>
          <w:p>
            <w:pPr>
              <w:spacing w:after="0"/>
            </w:pPr>
            <w:r>
              <w:rPr>
                <w:sz w:val="16"/>
              </w:rPr>
              <w:t>Exact 100-epoch loss history, configuration, calibration distribution, and threshold 0.7904250622.</w:t>
            </w:r>
          </w:p>
        </w:tc>
      </w:tr>
    </w:tbl>
    <w:p>
      <w:pPr>
        <w:spacing w:after="2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3E7"/>
            <w:tcMar>
              <w:top w:w="130" w:type="dxa"/>
              <w:start w:w="160" w:type="dxa"/>
              <w:bottom w:w="130" w:type="dxa"/>
              <w:end w:w="160" w:type="dxa"/>
            </w:tcMar>
          </w:tcPr>
          <w:p>
            <w:r>
              <w:rPr>
                <w:b/>
                <w:sz w:val="21"/>
              </w:rPr>
              <w:t>Final academic interpretation</w:t>
            </w:r>
          </w:p>
          <w:p>
            <w:pPr>
              <w:spacing w:after="0"/>
            </w:pPr>
            <w:r>
              <w:rPr>
                <w:sz w:val="19"/>
              </w:rPr>
              <w:t>The current evidence is strong enough to document the implemented neural architecture and its reconstruction convergence. It is not yet sufficient to claim supervised anomaly-detection effectiveness. A labelled validation stage is therefore not a cosmetic addition; it is the necessary experimental step that converts an unsupervised engineering prototype into a quantitatively evaluated anomaly detector.</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Technical clarification for client and academic review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BIM-Intellect v2 | Deep Learning / Graph Anomaly Detection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5F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F6F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