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Bima</w:t>
      </w:r>
      <w:r>
        <w:t xml:space="preserve"> </w:t>
      </w:r>
      <w:r>
        <w:t xml:space="preserve">Putra</w:t>
      </w:r>
      <w:r>
        <w:t xml:space="preserve"> </w:t>
      </w:r>
      <w:r>
        <w:t xml:space="preserve">Pratama</w:t>
      </w:r>
    </w:p>
    <w:bookmarkStart w:id="23" w:name="test"/>
    <w:p>
      <w:pPr>
        <w:pStyle w:val="Heading1"/>
      </w:pPr>
      <w:r>
        <w:t xml:space="preserve">Test</w:t>
      </w:r>
    </w:p>
    <w:bookmarkStart w:id="20" w:name="colors"/>
    <w:p>
      <w:pPr>
        <w:pStyle w:val="Heading2"/>
      </w:pPr>
      <w:r>
        <w:t xml:space="preserve">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End w:id="23"/>
    <w:bookmarkStart w:id="36" w:name="header-1"/>
    <w:p>
      <w:pPr>
        <w:pStyle w:val="Heading1"/>
      </w:pPr>
      <w:r>
        <w:t xml:space="preserve">Header 1</w:t>
      </w:r>
    </w:p>
    <w:bookmarkStart w:id="35" w:name="header-2"/>
    <w:p>
      <w:pPr>
        <w:pStyle w:val="Heading2"/>
      </w:pPr>
      <w:r>
        <w:t xml:space="preserve">Header 2</w:t>
      </w:r>
    </w:p>
    <w:bookmarkStart w:id="34" w:name="header-3"/>
    <w:p>
      <w:pPr>
        <w:pStyle w:val="Heading3"/>
      </w:pPr>
      <w:r>
        <w:t xml:space="preserve">Header 3</w:t>
      </w:r>
    </w:p>
    <w:bookmarkStart w:id="33" w:name="header-4"/>
    <w:p>
      <w:pPr>
        <w:pStyle w:val="Heading4"/>
      </w:pPr>
      <w:r>
        <w:t xml:space="preserve">Header 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This is a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rPr>
          <w:iCs/>
          <w:i/>
        </w:rPr>
        <w:t xml:space="preserve">italic</w:t>
      </w:r>
      <w:r>
        <w:t xml:space="preserve">, and</w:t>
      </w:r>
      <w:r>
        <w:t xml:space="preserve"> </w:t>
      </w:r>
      <w:r>
        <w:rPr>
          <w:iCs/>
          <w:i/>
          <w:bCs/>
          <w:b/>
        </w:rPr>
        <w:t xml:space="preserve">both</w:t>
      </w:r>
    </w:p>
    <w:p>
      <w:pPr>
        <w:pStyle w:val="BodyText"/>
      </w:pPr>
      <w:r>
        <w:t xml:space="preserve">This is a complete paragraph in a text. This can be used to check how the spacing in a line.</w:t>
      </w:r>
      <w:r>
        <w:t xml:space="preserve"> </w:t>
      </w:r>
      <w:r>
        <w:t xml:space="preserve">This is a new line</w:t>
      </w:r>
    </w:p>
    <w:p>
      <w:pPr>
        <w:pStyle w:val="BodyText"/>
      </w:pPr>
      <w:r>
        <w:t xml:space="preserve">Einstein’s theory of special relatively that expresses the equivalence of mass and energy: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This is a new line with an empty line before</w:t>
      </w:r>
      <w:r>
        <w:br/>
      </w:r>
      <w:r>
        <w:t xml:space="preserve">- Test</w:t>
      </w:r>
      <w:r>
        <w:br/>
      </w:r>
      <w:r>
        <w:t xml:space="preserve">- another test</w:t>
      </w:r>
      <w:r>
        <w:br/>
      </w:r>
      <w:r>
        <w:t xml:space="preserve">- Can we do this</w:t>
      </w:r>
      <w:r>
        <w:br/>
      </w:r>
      <w:r>
        <w:t xml:space="preserve">- not sure</w:t>
      </w:r>
      <w:r>
        <w:br/>
      </w:r>
      <w:r>
        <w:t xml:space="preserve">- let’s try</w:t>
      </w:r>
    </w:p>
    <w:p>
      <w:pPr>
        <w:pStyle w:val="BlockText"/>
      </w:pPr>
      <w:r>
        <w:t xml:space="preserve">[!NOTE] Test</w:t>
      </w:r>
      <w:r>
        <w:t xml:space="preserve"> </w:t>
      </w:r>
      <w:r>
        <w:t xml:space="preserve">Testing Callout</w:t>
      </w:r>
    </w:p>
    <w:p>
      <w:pPr>
        <w:pStyle w:val="BlockText"/>
      </w:pPr>
      <w:r>
        <w:t xml:space="preserve">[!WARNING] Test Warning</w:t>
      </w:r>
      <w:r>
        <w:t xml:space="preserve"> </w:t>
      </w:r>
      <w:r>
        <w:t xml:space="preserve">Contents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Bima Putra Pratama</dc:creator>
  <cp:keywords/>
  <dcterms:created xsi:type="dcterms:W3CDTF">2024-05-18T03:21:21Z</dcterms:created>
  <dcterms:modified xsi:type="dcterms:W3CDTF">2024-05-18T03:21:21Z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