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X17698d9ba07cb626bc683afbcf64d75f4d4499d"/>
    <w:p>
      <w:pPr>
        <w:pStyle w:val="Heading1"/>
      </w:pPr>
      <w:r>
        <w:t xml:space="preserve">Сравнение редакций тома 4.1.2 «Архитектурные решения» 1439/2025/4-ИЛО1.2</w:t>
      </w:r>
    </w:p>
    <w:p>
      <w:pPr>
        <w:pStyle w:val="FirstParagraph"/>
      </w:pPr>
      <w:r>
        <w:t xml:space="preserve">Этап №4. Строительство железнодорожных путей общего пользования (приемоотправочный парк ст. Круглое Поле). Раздел 4, подраздел 1, часть 2.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6357"/>
        <w:gridCol w:w="6357"/>
        <w:gridCol w:w="2421"/>
      </w:tblGrid>
      <w:tr>
        <w:trPr>
          <w:tblHeader w:val="true"/>
        </w:trPr>
        <w:tc>
          <w:tcPr>
            <w:tcW w:type="dxa" w:w="6358"/>
          </w:tcPr>
          <w:p>
            <w:pPr>
              <w:pStyle w:val="Compact"/>
            </w:pP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Редакция от 29.07.2026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Редакция от 16.10.2026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Раздел ПД №4 Подраздел №1 Часть №2 ИЛО1.2 (Парк_АР)(1439_2025_4) 26.07.29.pdf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Раздел ПД №4 Подраздел №1 Часть №2 ИЛО1.2 (Парк_АР)(1439_2025_4) 26.10.16.pdf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Количество страниц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101</w:t>
            </w:r>
          </w:p>
        </w:tc>
      </w:tr>
    </w:tbl>
    <w:p>
      <w:pPr>
        <w:pStyle w:val="BodyText"/>
      </w:pPr>
      <w:r>
        <w:t xml:space="preserve">Рассмотрены текстовая и графическая части тома в двух редакциях. Ниже приведены все внесённые изменения, для графической части — с фрагментами листов. Технические паспорта на блок-модули, включённые в редакцию от 16.10.2026, приведены справочно, их содержание в настоящем сравнении не рассматривалось.</w:t>
      </w:r>
    </w:p>
    <w:bookmarkStart w:id="20" w:name="состав-тома"/>
    <w:p>
      <w:pPr>
        <w:pStyle w:val="Heading2"/>
      </w:pPr>
      <w:r>
        <w:t xml:space="preserve">1. Состав тома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6357"/>
        <w:gridCol w:w="6357"/>
        <w:gridCol w:w="2421"/>
      </w:tblGrid>
      <w:tr>
        <w:trPr>
          <w:tblHeader w:val="true"/>
        </w:trP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Часть тома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Редакция от 29.07.2026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Редакция от 16.10.2026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Титульные листы, содержание тома 1439/2025/4-ИЛО1.2-С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стр. 1–4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стр. 1–4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Текстовая часть 1439/2025/4-ИЛО1.2-ТЧ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стр. 5–27 (23 листа)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стр. 5–27 (23 листа)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Графическая часть 1439/2025/4-ИЛО1.2-ГЧ.01 … 1439/2025/4-ИЛО1.2-ГЧ.14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стр. 28–41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стр. 28–41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Технический паспорт «Здание мобильное (инвентарное) контейнерного типа «БЫТОВОЙ МОДУЛЬ»», состояние на апрель 2026 г.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стр. 42–61 (20 стр.)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Технический паспорт «… контейнерного типа «КЛАДОВАЯ»», состояние на апрель 2026 г.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стр. 62–79 (18 стр.)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Технический паспорт «… контейнерного типа Туалетный модуль (с чашей генуя)», состояние на июль 2024 г.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стр. 80–101 (22 стр.)</w:t>
            </w:r>
          </w:p>
        </w:tc>
      </w:tr>
    </w:tbl>
    <w:bookmarkEnd w:id="20"/>
    <w:bookmarkStart w:id="21" w:name="текстовая-часть-143920254-ило1.2-тч"/>
    <w:p>
      <w:pPr>
        <w:pStyle w:val="Heading2"/>
      </w:pPr>
      <w:r>
        <w:t xml:space="preserve">2. Текстовая часть 1439/2025/4-ИЛО1.2-ТЧ</w:t>
      </w:r>
    </w:p>
    <w:p>
      <w:pPr>
        <w:pStyle w:val="FirstParagraph"/>
      </w:pPr>
      <w:r>
        <w:t xml:space="preserve">В остальном текст не изменился, за исключением нумерации разделов и страниц.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6357"/>
        <w:gridCol w:w="6357"/>
        <w:gridCol w:w="2421"/>
      </w:tblGrid>
      <w:tr>
        <w:trPr>
          <w:tblHeader w:val="true"/>
        </w:trP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Редакция от 29.07.2026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Редакция от 16.10.2026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Титульный лист, стр. 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«Главный инженер» Мезенцев Д.В.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«Главный инженер проекта» Мезенцев Д.В.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Содержание текстовой части, стр. 5–6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Разделы 1–17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Разделы 1–16; добавлены подразделы 5.1–5.4; раздел «11. Результаты расчетов продолжительности инсоляции и коэффициента естественной освещенности» исключён, разделы 12–17 перенумерованы в 11–16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3.2 Туалетный модуль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«Теплая кабина изготавливается в автономном варианте с унитазом со сквозным отверстием в полу кабины. Габаритные размеры здания – 1,7х1,4х2,69 (h) м.»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«Теплая кабина изготавливается в автономном варианте с чашей Генуя, с подключением к наружным сетям водоснабжения и водоотведения Габаритные размеры здания – 2 000×1 500×2 650.»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3.4 Бытовой модуль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«…габаритные размеры 18,0х9,0х2,8 (h) м…»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«…габаритные размеры 18,0х9,0х4,29 (h) м…»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3.7 Здание МК АТС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«Габаритные размеры модуля 6,6×21,9×2,69 (h) м.»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«Габаритные размеры модуля 6,3×23,1×2,75 (h) м.»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5 Энергетическая эффективность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Один абзац: «Наружные стены и покрытие всех зданий выполнены из сэндвич-панелей с использованием эффективного утеплителя… Окна из ПВХ профилей с однокамерными или двухкамерными стеклопакетами… Все наружные двери выполнены утепленными.»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Подразделы 5.1 Туалетный модуль, 5.2 Модульный пункт обогрева, 5.3 Бытовой модуль, 5.4 Кладовая: стены — трёхслойная сэндвич-панель, базальтовая вата 120 мм, 100–110 кг/м3, облицовка 0,7 мм; таблицы сопротивления теплопередаче (туалетный модуль: крыша 4,20, стена 3,19, пол 4,36; пункт обогрева: 4,15 / 4,11 / 4,36; бытовой модуль и кладовая: 3,79 / 3,79 / 4,29 м2·°C/Вт); входные двери по ГОСТ 31173-2016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8 Композиционные приёмы (фасады)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Добавлено: «Комбинация указанных цветов RAL по схеме окраски зданий в соответствии с требованиями Руководства по применению фирменного стиля ОАО «РЖД», прил. 14 Правила цветового оформления объектов инфраструктуры, утвержденного распоряжением ОАО «РЖД» 15.12.2011 №2724р.»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9 Отделка помещений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«Обшивка потолка «Туалетного модуля» выполнена панелью металлической 0,5 мм.» «Стены… базальтовым волокном толщиной 80 мм… Обшивка внутренних стен выполнена из алюминиевого листа рифленого… толщиной 1,5 мм.»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«Потолок «Туалетного модуля» изготовлен из стеновых трехслойных панелей… базальтовым волокном толщиной 120 мм…» «Стены… толщиной 120 мм… Обшивка стен выполнена из стали оцинкованной толщиной 0,5 мм.» Добавлено: отделка путей эвакуации из материалов НГ; линолеум Tarkett ACCZENT PRO или аналог, КМ2; кабели с индексом LS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10 Естественное освещение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«…окна из ПВХ-профиля с двухкамерным стеклопакетом… окно из ПВХ профиля с однокамерным стеклопакетом.»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Добавлено «по ГОСТ 30674—2023»; система Grain-Prestige 70 мм или аналог; размеры окон: 600×600 мм (туалетный модуль), 1200×1250 (модульный пункт обогрева), 1200×1200 (бытовой модуль); стеклопакет СПО (32 мм); для пункта обогрева — рольставни Alutech Trend PD55mN или аналог с электроприводом AM1/10-15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15 (было 16) Обоснование номенклатуры помещений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«Не разрабатывается.»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Полный текст: санитарно-бытовые помещения по СП 44.13330.2011; гардеробные, душевые, уборные при гардеробных, шкафы для сушки спецодежды в бытовом модуле; кладовые для спецодежды не предусмотрены; выдача спецодежды на складе Логистического комплекса; «Место для хранения уборочного инвентаря предусмотрено в помещении санузла, пом. №2.»</w:t>
            </w:r>
          </w:p>
        </w:tc>
      </w:tr>
    </w:tbl>
    <w:bookmarkEnd w:id="21"/>
    <w:bookmarkStart w:id="56" w:name="графическая-часть-143920254-ило1.2-гч"/>
    <w:p>
      <w:pPr>
        <w:pStyle w:val="Heading2"/>
      </w:pPr>
      <w:r>
        <w:t xml:space="preserve">3. Графическая часть 1439/2025/4-ИЛО1.2-ГЧ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7568"/>
        <w:gridCol w:w="7568"/>
      </w:tblGrid>
      <w:tr>
        <w:trPr>
          <w:tblHeader w:val="true"/>
        </w:trPr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Лист</w:t>
            </w:r>
          </w:p>
        </w:tc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Изменения в редакции от 16.10.2026</w:t>
            </w:r>
          </w:p>
        </w:tc>
      </w:tr>
      <w:tr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1439/2025/4-ИЛО1.2-ГЧ.01 (стр. 28) Ведомость документов графической части</w:t>
            </w:r>
          </w:p>
        </w:tc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Без изменений</w:t>
            </w:r>
          </w:p>
        </w:tc>
      </w:tr>
      <w:tr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1439/2025/4-ИЛО1.2-ГЧ.02 (стр. 29) Туалетный модуль. План, разрез 1-1</w:t>
            </w:r>
          </w:p>
        </w:tc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План: 1400×1700 → 1500×2000 мм. Разрез: высота 2690 → 2650 мм; добавлены отметки 0,000, +2,650, «+2,240 высота потолка»; состав стены, кровли и пола заменён (сэндвич-панель 120 мм, плита XPS 50 мм, минвата 150 мм, фанера 18 мм); надпись «Отмостку см. ПЗУ» и изображение отмостки на разрезе удалены. Экспликация: туалетная кабина 1,91 → 2,47 м². Основные показатели: площадь застройки 2,38 → 3,0 м², общая площадь 1,91 → 2,47 м², строительный объём 6,4 → 7,95 м³. Примечания 1–5 без изменений</w:t>
            </w:r>
          </w:p>
        </w:tc>
      </w:tr>
      <w:tr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1439/2025/4-ИЛО1.2-ГЧ.03 (стр. 30) Туалетный модуль. Фасады</w:t>
            </w:r>
          </w:p>
        </w:tc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Ширина 1400 → 1500 мм (фасады 1-2, 2-1) и 1700 → 2000 мм (А-Б, Б-А); верх «+2,690» → «+2,650». Фасад Б-А: добавлены отметки +1,950 и +1,350 (окно); отметка «134,81» под 0,000 удалена. Фасад 1-2: изменена сторона открывания двери. Полоса RAL 3020 показана ниже (высота полосы не проставлена ни в одной редакции)</w:t>
            </w:r>
          </w:p>
        </w:tc>
      </w:tr>
      <w:tr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1439/2025/4-ИЛО1.2-ГЧ.04 (стр. 31) Модульная компрессорная. План, разрез 1-1</w:t>
            </w:r>
          </w:p>
        </w:tc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Добавлены отметка «+2,970*» и сноска «* - уточнить по месту». Разрез 1-1 перенесён на листе без изменений. План, спецификация, экспликация, показатели, примечания — без изменений</w:t>
            </w:r>
          </w:p>
        </w:tc>
      </w:tr>
      <w:tr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1439/2025/4-ИЛО1.2-ГЧ.05 (стр. 32) Модульная компрессорная. Фасады</w:t>
            </w:r>
          </w:p>
        </w:tc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Добавлены отметки: «+2,300» (фасады 1-2 и А-Б), «+1,645» и «+1,230» (фасад 2-1). Остальное без изменений</w:t>
            </w:r>
          </w:p>
        </w:tc>
      </w:tr>
      <w:tr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1439/2025/4-ИЛО1.2-ГЧ.06 (стр. 33) Модульный пункт обогрева. План, разрез 1-1</w:t>
            </w:r>
          </w:p>
        </w:tc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«Окно 1000х1000мм» → «Окно 1200х1250мм»; на плане размеры по проёму 720 / 1000 / 720 → 620 / 1200 / 620 (оба модуля). Разрез: добавлена «+2,460 высота потолка». Экспликация, показатели, примечания без изменений</w:t>
            </w:r>
          </w:p>
        </w:tc>
      </w:tr>
      <w:tr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1439/2025/4-ИЛО1.2-ГЧ.07 (стр. 34) Модульный пункт обогрева. Фасады</w:t>
            </w:r>
          </w:p>
        </w:tc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Фасад В-А: отметки +2,890; +2,300; +1,900; +0,900 → +2,890; +2,150; +0,900. Фасад А-В: добавлена «+2,050». На всех четырёх фасадах удалена «−0,300 Ур.з.»</w:t>
            </w:r>
          </w:p>
        </w:tc>
      </w:tr>
      <w:tr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1439/2025/4-ИЛО1.2-ГЧ.08 (стр. 35) БКТП 250 кВА. Фасады</w:t>
            </w:r>
          </w:p>
        </w:tc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На всех четырёх фасадах удалены «−0,400 Ур.з.» и изображение рельефа и опор под зданием. Добавлены отметки: А-Г +2,480, +0,270; Г-А +2,540, +0,270; 1-2 и 2-1 +2,540, +1,730, +1,360, +0,550. Примечание 2 «…соответствует абсолютной отметке 149,51.» заменено на «За условные отметки 0.000 приняты отметки чистого пола, которые соответствуют абсолютным отметкам 149,51 в районе четной горловины проектируемого Парка и 150,21 в районе нечетной горловины проектируемого Парка.»</w:t>
            </w:r>
          </w:p>
        </w:tc>
      </w:tr>
      <w:tr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1439/2025/4-ИЛО1.2-ГЧ.09 (стр. 36) Бытовой модуль. План, разрез 1-1</w:t>
            </w:r>
          </w:p>
        </w:tc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План: мебель и оборудование на плане больше не показаны; изменены перегородки и двери у оси Б в осях 5–7. Экспликация: было 16 позиций, стало 17 (см. таблицу ниже). Показатели: площадь застройки 162,0 м² и общая площадь 145,48 м² — без изменений; строительный объём 453,6 → 694,98 м³. Разрез: плоская кровля с верхом +2,800 заменена двускатной с верхом +4,290; добавлена «+2,500 высота потолка»; удалена «−0,300 Ур. земли»</w:t>
            </w:r>
          </w:p>
        </w:tc>
      </w:tr>
      <w:tr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1439/2025/4-ИЛО1.2-ГЧ.10 (стр. 37) Бытовой модуль. Фасады</w:t>
            </w:r>
          </w:p>
        </w:tc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Двускатная кровля: конёк +4,290, карниз +2,890 (было +2,800); показана разрезка на модули. Фасад 1-7: было 3 окна и 1 дверь, стало 1 окно и 1 дверь. Фасады А-Б, Б-А, 7-1: число проёмов не изменилось. Добавлены отметки +2,100 и +0,900 (окна), +2,050 (двери); удалена «−0,300 Ур. з.»</w:t>
            </w:r>
          </w:p>
        </w:tc>
      </w:tr>
      <w:tr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1439/2025/4-ИЛО1.2-ГЧ.11 (стр. 38) Кладовая. План, разрез 1-1</w:t>
            </w:r>
          </w:p>
        </w:tc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Добавлена «+2,700 высота потолка». Остальное без изменений</w:t>
            </w:r>
          </w:p>
        </w:tc>
      </w:tr>
      <w:tr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1439/2025/4-ИЛО1.2-ГЧ.12 (стр. 39) Кладовая. Фасады</w:t>
            </w:r>
          </w:p>
        </w:tc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Добавлена «+2,050» на фасаде 1-2. Остальное без изменений</w:t>
            </w:r>
          </w:p>
        </w:tc>
      </w:tr>
      <w:tr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1439/2025/4-ИЛО1.2-ГЧ.13 (стр. 40) Модуль АСДТ-5. Фасады</w:t>
            </w:r>
          </w:p>
        </w:tc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На всех четырёх фасадах удалены «−0,300 Ур. з.» и изображение опор; на фасаде А-Б добавлена «+2,050»</w:t>
            </w:r>
          </w:p>
        </w:tc>
      </w:tr>
      <w:tr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1439/2025/4-ИЛО1.2-ГЧ.14 (стр. 41) Здание МК АТС. Фасады</w:t>
            </w:r>
          </w:p>
        </w:tc>
        <w:tc>
          <w:tcPr>
            <w:tcW w:type="dxa" w:w="7569"/>
          </w:tcPr>
          <w:p>
            <w:pPr>
              <w:pStyle w:val="Compact"/>
              <w:jc w:val="left"/>
            </w:pPr>
            <w:r>
              <w:t xml:space="preserve">Торцевые фасады: 6600 → 6300 мм. Продольные фасады: 21900 → 9000 + 3100 + 11000 = 23100 мм, добавлены оси 2 и 3; дверь на фасаде 4-1 показана у оси 3. Удалены «−0,300 Ур. з.» и «−0,200», добавлена «0,000»; верх «+2,690» → «+2,700» и «+2,750»; на фасаде 4-1 добавлена «+2,050». Название «Фасад в осях Б-А» заменено на «Фасад в осях А-Б»</w:t>
            </w:r>
          </w:p>
        </w:tc>
      </w:tr>
    </w:tbl>
    <w:p>
      <w:pPr>
        <w:pStyle w:val="CaptionedFigure"/>
      </w:pPr>
      <w:r>
        <w:drawing>
          <wp:inline>
            <wp:extent cx="7419093" cy="6047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cmp12/fig/01_туалет_план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19093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1439/2025/4-ИЛО1.2-ГЧ.02. Туалетный модуль: план и разрез 1-1 (в редакции от 16.10.2026 на разрезе размер А–Б 1700, на плане 2000)</w:t>
      </w:r>
    </w:p>
    <w:p>
      <w:pPr>
        <w:pStyle w:val="CaptionedFigure"/>
      </w:pPr>
      <w:r>
        <w:drawing>
          <wp:inline>
            <wp:extent cx="9612000" cy="405943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cmp12/fig/01б_туалет_показатели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059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1439/2025/4-ИЛО1.2-ГЧ.02. Туалетный модуль: экспликация и основные строительные показатели</w:t>
      </w:r>
    </w:p>
    <w:p>
      <w:pPr>
        <w:pStyle w:val="CaptionedFigure"/>
      </w:pPr>
      <w:r>
        <w:drawing>
          <wp:inline>
            <wp:extent cx="9325781" cy="604799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cmp12/fig/07_туалет_фасады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25781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1439/2025/4-ИЛО1.2-ГЧ.03. Туалетный модуль: фасады</w:t>
      </w:r>
    </w:p>
    <w:p>
      <w:pPr>
        <w:pStyle w:val="CaptionedFigure"/>
      </w:pPr>
      <w:r>
        <w:drawing>
          <wp:inline>
            <wp:extent cx="9612000" cy="331357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cmp12/fig/02_компрессорная_отметка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313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1439/2025/4-ИЛО1.2-ГЧ.04. Модульная компрессорная: разрез 1-1</w:t>
      </w:r>
    </w:p>
    <w:p>
      <w:pPr>
        <w:pStyle w:val="CaptionedFigure"/>
      </w:pPr>
      <w:r>
        <w:drawing>
          <wp:inline>
            <wp:extent cx="9612000" cy="3344808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cmp12/fig/03_пункт_обогрева_окно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344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1439/2025/4-ИЛО1.2-ГЧ.06. Модульный пункт обогрева: окно на плане</w:t>
      </w:r>
    </w:p>
    <w:p>
      <w:pPr>
        <w:pStyle w:val="CaptionedFigure"/>
      </w:pPr>
      <w:r>
        <w:drawing>
          <wp:inline>
            <wp:extent cx="8275725" cy="604799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cmp12/fig/08_пункт_обогрева_фасады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5725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1439/2025/4-ИЛО1.2-ГЧ.07. Модульный пункт обогрева: фасады В-А и А-В</w:t>
      </w:r>
    </w:p>
    <w:p>
      <w:pPr>
        <w:pStyle w:val="CaptionedFigure"/>
      </w:pPr>
      <w:r>
        <w:drawing>
          <wp:inline>
            <wp:extent cx="9612000" cy="3342838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cmp12/fig/04_БКТП_отметки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342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1439/2025/4-ИЛО1.2-ГЧ.08. БКТП 250 кВА: примечания</w:t>
      </w:r>
    </w:p>
    <w:bookmarkStart w:id="55" w:name="Xacefd349ab34b78aca861b6cac2212bf2d530db"/>
    <w:p>
      <w:pPr>
        <w:pStyle w:val="Heading3"/>
      </w:pPr>
      <w:r>
        <w:t xml:space="preserve">Экспликация помещений бытового модуля, лист 1439/2025/4-ИЛО1.2-ГЧ.09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2522"/>
        <w:gridCol w:w="2522"/>
        <w:gridCol w:w="2522"/>
        <w:gridCol w:w="2522"/>
        <w:gridCol w:w="2522"/>
        <w:gridCol w:w="2522"/>
      </w:tblGrid>
      <w:tr>
        <w:trPr>
          <w:tblHeader w:val="true"/>
        </w:trP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Редакция от 29.07.2026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м²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Редакция от 16.10.2026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м²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Комната приема пищи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12,17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Комната приема пищи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с/у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4,72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Тамбур с раковиной и местом для уборочного инвентаря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3,60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с/у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2,16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2а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Уборная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0,95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Гардеробная мужская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9,54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Тамбур с раковиной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1,10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Гардеробная мужская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19,88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3а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Уборная при гардеробной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0,95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Душевая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5,32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4-5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Гардеробная мужская на 6 чел. (2г)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35,16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Помещение сушки спецодежды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4,36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Душевая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5,32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Гардеробная женская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9,69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Помещение сушки спецодежды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4,36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Душевая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2,00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Гардеробная женская на 2 чел. (2г)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9,69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с/у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3,13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Душевая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2,00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32,64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с/у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3,13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Кабинет приемосдатчиков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10,91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32,64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Кабинет Мастера ПТО, ОРВ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16,00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Кабинет приемосдатчиков 2 чел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10,91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Электрощитовая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3,88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Кабинет мастера и оператора ПТО (2 чел)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16,20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Серверная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4,20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Электрощитовая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3,63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Водомерный узел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4,88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Серверная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4,20</w:t>
            </w:r>
          </w:p>
        </w:tc>
      </w:tr>
      <w:tr>
        <w:tc>
          <w:tcPr>
            <w:tcW w:type="dxa" w:w="2523"/>
          </w:tcPr>
          <w:p>
            <w:pPr>
              <w:pStyle w:val="Compact"/>
            </w:pPr>
          </w:p>
        </w:tc>
        <w:tc>
          <w:tcPr>
            <w:tcW w:type="dxa" w:w="2523"/>
          </w:tcPr>
          <w:p>
            <w:pPr>
              <w:pStyle w:val="Compact"/>
            </w:pPr>
          </w:p>
        </w:tc>
        <w:tc>
          <w:tcPr>
            <w:tcW w:type="dxa" w:w="2523"/>
          </w:tcPr>
          <w:p>
            <w:pPr>
              <w:pStyle w:val="Compact"/>
            </w:pP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Водомерный узел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4,88</w:t>
            </w:r>
          </w:p>
        </w:tc>
      </w:tr>
      <w:tr>
        <w:tc>
          <w:tcPr>
            <w:tcW w:type="dxa" w:w="2523"/>
          </w:tcPr>
          <w:p>
            <w:pPr>
              <w:pStyle w:val="Compact"/>
            </w:pP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Сумма площадей помещений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145,48</w:t>
            </w:r>
          </w:p>
        </w:tc>
        <w:tc>
          <w:tcPr>
            <w:tcW w:type="dxa" w:w="2523"/>
          </w:tcPr>
          <w:p>
            <w:pPr>
              <w:pStyle w:val="Compact"/>
            </w:pP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Сумма площадей помещений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150,89</w:t>
            </w:r>
          </w:p>
        </w:tc>
      </w:tr>
      <w:tr>
        <w:tc>
          <w:tcPr>
            <w:tcW w:type="dxa" w:w="2523"/>
          </w:tcPr>
          <w:p>
            <w:pPr>
              <w:pStyle w:val="Compact"/>
            </w:pP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Общая площадь по показателям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145,48</w:t>
            </w:r>
          </w:p>
        </w:tc>
        <w:tc>
          <w:tcPr>
            <w:tcW w:type="dxa" w:w="2523"/>
          </w:tcPr>
          <w:p>
            <w:pPr>
              <w:pStyle w:val="Compact"/>
            </w:pP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Общая площадь по показателям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145,48</w:t>
            </w:r>
          </w:p>
        </w:tc>
      </w:tr>
    </w:tbl>
    <w:p>
      <w:pPr>
        <w:pStyle w:val="CaptionedFigure"/>
      </w:pPr>
      <w:r>
        <w:drawing>
          <wp:inline>
            <wp:extent cx="9612000" cy="248605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cmp12/fig/05_бытовой_экспликация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2486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1439/2025/4-ИЛО1.2-ГЧ.09. Бытовой модуль: экспликация и основные строительные показатели</w:t>
      </w:r>
    </w:p>
    <w:p>
      <w:pPr>
        <w:pStyle w:val="CaptionedFigure"/>
      </w:pPr>
      <w:r>
        <w:drawing>
          <wp:inline>
            <wp:extent cx="9612000" cy="185847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cmp12/fig/05б_бытовой_разрез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1858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1439/2025/4-ИЛО1.2-ГЧ.09. Бытовой модуль: разрез 1-1</w:t>
      </w:r>
    </w:p>
    <w:p>
      <w:pPr>
        <w:pStyle w:val="CaptionedFigure"/>
      </w:pPr>
      <w:r>
        <w:drawing>
          <wp:inline>
            <wp:extent cx="9612000" cy="282191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cmp12/fig/09_бытовой_фасады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2821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1439/2025/4-ИЛО1.2-ГЧ.10. Бытовой модуль: фасады</w:t>
      </w:r>
    </w:p>
    <w:p>
      <w:pPr>
        <w:pStyle w:val="CaptionedFigure"/>
      </w:pPr>
      <w:r>
        <w:drawing>
          <wp:inline>
            <wp:extent cx="9612000" cy="439651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cmp12/fig/06_МК_АТС_фасады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396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1439/2025/4-ИЛО1.2-ГЧ.14. Здание МК АТС: фасады</w:t>
      </w:r>
    </w:p>
    <w:bookmarkEnd w:id="55"/>
    <w:bookmarkEnd w:id="56"/>
    <w:bookmarkStart w:id="57" w:name="замечания-к-редакции-от-16.10.2026"/>
    <w:p>
      <w:pPr>
        <w:pStyle w:val="Heading2"/>
      </w:pPr>
      <w:r>
        <w:t xml:space="preserve">4. Замечания к редакции от 16.10.2026</w:t>
      </w:r>
    </w:p>
    <w:p>
      <w:pPr>
        <w:pStyle w:val="FirstParagraph"/>
      </w:pPr>
      <w:r>
        <w:t xml:space="preserve">По изменённым разделам и листам выявлены несоответствия. Прошу проектировщика дать пояснения или внести исправления.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6357"/>
        <w:gridCol w:w="6357"/>
        <w:gridCol w:w="2421"/>
      </w:tblGrid>
      <w:tr>
        <w:trPr>
          <w:tblHeader w:val="true"/>
        </w:trP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Документ, лист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Замечание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1439/2025/4-ИЛО1.2-ГЧ.09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Сумма площадей помещений по экспликации 150,89 м², общая площадь в основных строительных показателях 145,48 м² (в редакции от 29.07.2026 сумма совпадала с показателями — 145,48 м²)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1439/2025/4-ИЛО1.2-ГЧ.09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На плане нет номера помещения 7 (в экспликации есть поз. 7 «Помещение сушки спецодежды», 4,36 м²); помещения 4 и 5 на плане пронумерованы раздельно, в экспликации — одной строкой «4-5»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1439/2025/4-ИЛО1.2-ТЧ, раздел 15 / 1439/2025/4-ИЛО1.2-ГЧ.09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В текстовой части: «Место для хранения уборочного инвентаря предусмотрено в помещении санузла, пом. №2». На листе 1439/2025/4-ИЛО1.2-ГЧ.09 пом. 2 — «Тамбур с раковиной и местом для уборочного инвентаря», уборная — пом. 2а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1439/2025/4-ИЛО1.2-ТЧ, подраздел 14.4 / 1439/2025/4-ИЛО1.2-ГЧ.09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В текстовой части основное помещение — «кабинет мастера ПТО, ОРВ», на листе — «Кабинет мастера и оператора ПТО (2 чел)»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1439/2025/4-ИЛО1.2-ТЧ, раздел 9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Сохранён текст «Полы в «Туалетном модуле» выполнены из алюминиевого листа рифленого (тип рифления квинтет) толщиной 1,5 мм» и добавлен текст «Напольное покрытие помещений туалетного модуля предусмотрено линолеумом Tarkett ACCZENT PRO, или аналогом». На листе 1439/2025/4-ИЛО1.2-ГЧ.02 в составе пола указан «Алюминиевый лист рифленый 1,5 мм»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1439/2025/4-ИЛО1.2-ТЧ, подраздел 5.2 / 1439/2025/4-ИЛО1.2-ГЧ.06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Модульный пункт обогрева: в тексте подраздела 5.2 «Базальтовая вата толщиной 120 мм», в таблице того же подраздела «Стена Базальт. вата 150», на разрезе листа 1439/2025/4-ИЛО1.2-ГЧ.06 «Панель стеновая трехслойная с базальтовой ватой… – 150 мм»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1439/2025/4-ИЛО1.2-ТЧ, подразделы 5.2, 5.3 и раздел 10 / 1439/2025/4-ИЛО1.2-ГЧ.09, 1439/2025/4-ИЛО1.2-ГЧ.10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Тип стеклопакета бытового модуля и пункта обогрева: подразделы 5.2 и 5.3 — «с однокамерными стеклопакетами»; раздел 10 — «окна из ПВХ-профиля с двухкамерным стеклопакетом по ГОСТ 30674—2023» и далее «Заполнение: стеклопакет однокамерный, энергоэффективный, тонированный СПО (32 мм)»; примечания листов 1439/2025/4-ИЛО1.2-ГЧ.09 и 1439/2025/4-ИЛО1.2-ГЧ.10 — «Окна металлопластиковые с двухкамерным стеклопакетом толщиной 32мм»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1439/2025/4-ИЛО1.2-ГЧ.02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На плане размер между осями А–Б 2000 мм, на разрезе 1-1 между теми же осями — 1700 мм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1439/2025/4-ИЛО1.2-ГЧ.04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Отметка «+2,970*» со сноской «* - уточнить по месту» — в проектной документации отметка должна быть определена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1439/2025/4-ИЛО1.2-ГЧ.08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Два примечания под номером «1.»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1439/2025/4-ИЛО1.2-ГЧ.14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Два фасада с названием «Фасад в осях А-Б»; у второго оси подписаны в порядке Б…А (в редакции от 29.07.2026 — «Фасад в осях Б-А»)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1439/2025/4-ИЛО1.2-С (стр. 4) Содержание тома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Содержание тома в обеих редакциях одинаковое: «Текстовая часть» (с. 4), «Графическая часть» (с. 27). Технические паспорта, включённые в редакцию от 16.10.2026 (стр. 42–101), в содержании тома не указаны</w:t>
            </w:r>
          </w:p>
        </w:tc>
      </w:tr>
    </w:tbl>
    <w:bookmarkEnd w:id="57"/>
    <w:bookmarkStart w:id="58" w:name="Xf7fb809543055ca5bca92ea34f44691c572a2f0"/>
    <w:p>
      <w:pPr>
        <w:pStyle w:val="Heading2"/>
      </w:pPr>
      <w:r>
        <w:t xml:space="preserve">5. Габариты зданий и окон в текстовой и графической частях редакции от 16.10.2026 совпадают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6357"/>
        <w:gridCol w:w="6357"/>
        <w:gridCol w:w="2421"/>
      </w:tblGrid>
      <w:tr>
        <w:trPr>
          <w:tblHeader w:val="true"/>
        </w:trP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Объект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Текстовая часть 1439/2025/4-ИЛО1.2-ТЧ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Графическая часть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Туалетный модуль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п. 3.2: 2 000×1 500×2 650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1439/2025/4-ИЛО1.2-ГЧ.02: план 1500×2000, разрез 2650; 1439/2025/4-ИЛО1.2-ГЧ.03: ширина 1500 / 2000, верх +2,650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Бытовой модуль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п. 3.4: 18,0х9,0х4,29 (h) м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1439/2025/4-ИЛО1.2-ГЧ.09, 1439/2025/4-ИЛО1.2-ГЧ.10: 18000×9000, верх +4,290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Здание МК АТС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п. 3.7: 6,3×23,1×2,75 (h) м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1439/2025/4-ИЛО1.2-ГЧ.14: 6300; 9000+3100+11000 = 23100; верх +2,750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Окно пункта обогрева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п. 10: 1200×1250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1439/2025/4-ИЛО1.2-ГЧ.06: «Окно 1200х1250мм», проём 1200; 1439/2025/4-ИЛО1.2-ГЧ.07: +2,150 − 0,900 = 1,250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Окно туалетного модуля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п. 10: 600×600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1439/2025/4-ИЛО1.2-ГЧ.03: +1,950 − 1,350 = 0,600 (ширина окна на листе не проставлена)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Окно бытового модуля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п. 10: 1200×1200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1439/2025/4-ИЛО1.2-ГЧ.10: +2,100 − 0,900 = 1,200 (ширина окна на листе не проставлена)</w:t>
            </w:r>
          </w:p>
        </w:tc>
      </w:tr>
    </w:tbl>
    <w:p>
      <w:pPr>
        <w:pStyle w:val="BodyText"/>
      </w:pPr>
      <w:r>
        <w:t xml:space="preserve">Составил: ведущий инженер ______________________ / ______________________ /</w:t>
      </w:r>
    </w:p>
    <w:p>
      <w:pPr>
        <w:pStyle w:val="BodyText"/>
      </w:pPr>
      <w:r>
        <w:t xml:space="preserve">Дата: ____________</w:t>
      </w:r>
    </w:p>
    <w:bookmarkEnd w:id="58"/>
    <w:bookmarkEnd w:id="59"/>
    <w:sectPr>
      <w:pgSz w:orient="landscape" w:w="16838" w:h="11906"/>
      <w:pgMar w:left="850" w:right="850" w:top="737" w:bottom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C0392B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  <w:rPr>
      <w:rFonts w:ascii="Arial" w:hAnsi="Arial" w:cs="Arial" w:eastAsia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 w:cs="Arial" w:eastAsia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</w:rPr>
  </w:style>
  <w:style w:customStyle="1" w:styleId="ImageCaption" w:type="paragraph">
    <w:name w:val="Image Caption"/>
    <w:basedOn w:val="Caption"/>
    <w:rPr>
      <w:rFonts w:ascii="Arial" w:hAnsi="Arial" w:cs="Arial" w:eastAsia="Arial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cs="Arial" w:eastAsia="Arial"/>
    </w:rPr>
  </w:style>
  <w:style w:customStyle="1" w:styleId="VerbatimChar" w:type="character">
    <w:name w:val="Verbatim Char"/>
    <w:basedOn w:val="BodyTextChar"/>
    <w:rPr>
      <w:rFonts w:ascii="Arial" w:hAnsi="Arial" w:cs="Arial" w:eastAsia="Arial"/>
      <w:sz w:val="22"/>
    </w:rPr>
  </w:style>
  <w:style w:customStyle="1" w:styleId="SectionNumber" w:type="character">
    <w:name w:val="Section Number"/>
    <w:basedOn w:val="BodyTextChar"/>
    <w:rPr>
      <w:rFonts w:ascii="Arial" w:hAnsi="Arial" w:cs="Arial" w:eastAsia="Arial"/>
    </w:rPr>
  </w:style>
  <w:style w:styleId="FootnoteReference" w:type="character">
    <w:name w:val="Footnote Reference"/>
    <w:basedOn w:val="BodyTextChar"/>
    <w:rPr>
      <w:rFonts w:ascii="Arial" w:hAnsi="Arial" w:cs="Arial" w:eastAsia="Arial"/>
      <w:vertAlign w:val="superscript"/>
    </w:rPr>
  </w:style>
  <w:style w:styleId="Hyperlink" w:type="character">
    <w:name w:val="Hyperlink"/>
    <w:basedOn w:val="BodyTextChar"/>
    <w:rPr>
      <w:rFonts w:ascii="Arial" w:hAnsi="Arial" w:cs="Arial" w:eastAsia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</w:rPr>
  </w:style>
  <w:style w:type="character" w:customStyle="1" w:styleId="KeywordTok">
    <w:name w:val="KeywordTok"/>
    <w:basedOn w:val="VerbatimChar"/>
    <w:rPr>
      <w:color w:val="007020"/>
      <w:rFonts w:ascii="Arial" w:hAnsi="Arial" w:cs="Arial" w:eastAsia="Arial"/>
      <w:b/>
    </w:rPr>
  </w:style>
  <w:style w:type="character" w:customStyle="1" w:styleId="DataTypeTok">
    <w:name w:val="DataTypeTok"/>
    <w:basedOn w:val="VerbatimChar"/>
    <w:rPr>
      <w:rFonts w:ascii="Arial" w:hAnsi="Arial" w:cs="Arial" w:eastAsia="Arial"/>
      <w:color w:val="902000"/>
    </w:rPr>
  </w:style>
  <w:style w:type="character" w:customStyle="1" w:styleId="DecValTok">
    <w:name w:val="DecValTok"/>
    <w:basedOn w:val="VerbatimChar"/>
    <w:rPr>
      <w:rFonts w:ascii="Arial" w:hAnsi="Arial" w:cs="Arial" w:eastAsia="Arial"/>
      <w:color w:val="40a070"/>
    </w:rPr>
  </w:style>
  <w:style w:type="character" w:customStyle="1" w:styleId="BaseNTok">
    <w:name w:val="BaseNTok"/>
    <w:basedOn w:val="VerbatimChar"/>
    <w:rPr>
      <w:rFonts w:ascii="Arial" w:hAnsi="Arial" w:cs="Arial" w:eastAsia="Arial"/>
      <w:color w:val="40a070"/>
    </w:rPr>
  </w:style>
  <w:style w:type="character" w:customStyle="1" w:styleId="FloatTok">
    <w:name w:val="FloatTok"/>
    <w:basedOn w:val="VerbatimChar"/>
    <w:rPr>
      <w:rFonts w:ascii="Arial" w:hAnsi="Arial" w:cs="Arial" w:eastAsia="Arial"/>
      <w:color w:val="40a070"/>
    </w:rPr>
  </w:style>
  <w:style w:type="character" w:customStyle="1" w:styleId="ConstantTok">
    <w:name w:val="ConstantTok"/>
    <w:basedOn w:val="VerbatimChar"/>
    <w:rPr>
      <w:rFonts w:ascii="Arial" w:hAnsi="Arial" w:cs="Arial" w:eastAsia="Arial"/>
      <w:color w:val="880000"/>
    </w:rPr>
  </w:style>
  <w:style w:type="character" w:customStyle="1" w:styleId="CharTok">
    <w:name w:val="CharTok"/>
    <w:basedOn w:val="VerbatimChar"/>
    <w:rPr>
      <w:rFonts w:ascii="Arial" w:hAnsi="Arial" w:cs="Arial" w:eastAsia="Arial"/>
      <w:color w:val="4070a0"/>
    </w:rPr>
  </w:style>
  <w:style w:type="character" w:customStyle="1" w:styleId="SpecialCharTok">
    <w:name w:val="SpecialCharTok"/>
    <w:basedOn w:val="VerbatimChar"/>
    <w:rPr>
      <w:rFonts w:ascii="Arial" w:hAnsi="Arial" w:cs="Arial" w:eastAsia="Arial"/>
      <w:color w:val="4070a0"/>
    </w:rPr>
  </w:style>
  <w:style w:type="character" w:customStyle="1" w:styleId="StringTok">
    <w:name w:val="StringTok"/>
    <w:basedOn w:val="VerbatimChar"/>
    <w:rPr>
      <w:rFonts w:ascii="Arial" w:hAnsi="Arial" w:cs="Arial" w:eastAsia="Arial"/>
      <w:color w:val="4070a0"/>
    </w:rPr>
  </w:style>
  <w:style w:type="character" w:customStyle="1" w:styleId="VerbatimStringTok">
    <w:name w:val="VerbatimStringTok"/>
    <w:basedOn w:val="VerbatimChar"/>
    <w:rPr>
      <w:rFonts w:ascii="Arial" w:hAnsi="Arial" w:cs="Arial" w:eastAsia="Arial"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Arial" w:eastAsia="Arial"/>
      <w:color w:val="bb6688"/>
    </w:rPr>
  </w:style>
  <w:style w:type="character" w:customStyle="1" w:styleId="ImportTok">
    <w:name w:val="ImportTok"/>
    <w:basedOn w:val="VerbatimChar"/>
    <w:rPr>
      <w:color w:val="008000"/>
      <w:rFonts w:ascii="Arial" w:hAnsi="Arial" w:cs="Arial" w:eastAsia="Arial"/>
      <w:b/>
    </w:rPr>
  </w:style>
  <w:style w:type="character" w:customStyle="1" w:styleId="CommentTok">
    <w:name w:val="CommentTok"/>
    <w:basedOn w:val="VerbatimChar"/>
    <w:rPr>
      <w:color w:val="60a0b0"/>
      <w:rFonts w:ascii="Arial" w:hAnsi="Arial" w:cs="Arial" w:eastAsia="Arial"/>
      <w:i/>
    </w:rPr>
  </w:style>
  <w:style w:type="character" w:customStyle="1" w:styleId="DocumentationTok">
    <w:name w:val="DocumentationTok"/>
    <w:basedOn w:val="VerbatimChar"/>
    <w:rPr>
      <w:color w:val="ba2121"/>
      <w:rFonts w:ascii="Arial" w:hAnsi="Arial" w:cs="Arial" w:eastAsia="Arial"/>
      <w:i/>
    </w:rPr>
  </w:style>
  <w:style w:type="character" w:customStyle="1" w:styleId="AnnotationTok">
    <w:name w:val="Annot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CommentVarTok">
    <w:name w:val="CommentVar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OtherTok">
    <w:name w:val="OtherTok"/>
    <w:basedOn w:val="VerbatimChar"/>
    <w:rPr>
      <w:rFonts w:ascii="Arial" w:hAnsi="Arial" w:cs="Arial" w:eastAsia="Arial"/>
      <w:color w:val="007020"/>
    </w:rPr>
  </w:style>
  <w:style w:type="character" w:customStyle="1" w:styleId="FunctionTok">
    <w:name w:val="FunctionTok"/>
    <w:basedOn w:val="VerbatimChar"/>
    <w:rPr>
      <w:rFonts w:ascii="Arial" w:hAnsi="Arial" w:cs="Arial" w:eastAsia="Arial"/>
      <w:color w:val="06287e"/>
    </w:rPr>
  </w:style>
  <w:style w:type="character" w:customStyle="1" w:styleId="VariableTok">
    <w:name w:val="VariableTok"/>
    <w:basedOn w:val="VerbatimChar"/>
    <w:rPr>
      <w:rFonts w:ascii="Arial" w:hAnsi="Arial" w:cs="Arial" w:eastAsia="Arial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Arial" w:hAnsi="Arial" w:cs="Arial" w:eastAsia="Arial"/>
      <w:b/>
    </w:rPr>
  </w:style>
  <w:style w:type="character" w:customStyle="1" w:styleId="OperatorTok">
    <w:name w:val="OperatorTok"/>
    <w:basedOn w:val="VerbatimChar"/>
    <w:rPr>
      <w:rFonts w:ascii="Arial" w:hAnsi="Arial" w:cs="Arial" w:eastAsia="Arial"/>
      <w:color w:val="666666"/>
    </w:rPr>
  </w:style>
  <w:style w:type="character" w:customStyle="1" w:styleId="BuiltInTok">
    <w:name w:val="BuiltInTok"/>
    <w:basedOn w:val="VerbatimChar"/>
    <w:rPr>
      <w:rFonts w:ascii="Arial" w:hAnsi="Arial" w:cs="Arial" w:eastAsia="Arial"/>
      <w:color w:val="008000"/>
    </w:rPr>
  </w:style>
  <w:style w:type="character" w:customStyle="1" w:styleId="ExtensionTok">
    <w:name w:val="ExtensionTok"/>
    <w:basedOn w:val="VerbatimChar"/>
    <w:rPr>
      <w:rFonts w:ascii="Arial" w:hAnsi="Arial" w:cs="Arial" w:eastAsia="Arial"/>
    </w:rPr>
  </w:style>
  <w:style w:type="character" w:customStyle="1" w:styleId="PreprocessorTok">
    <w:name w:val="PreprocessorTok"/>
    <w:basedOn w:val="VerbatimChar"/>
    <w:rPr>
      <w:rFonts w:ascii="Arial" w:hAnsi="Arial" w:cs="Arial" w:eastAsia="Arial"/>
      <w:color w:val="bc7a00"/>
    </w:rPr>
  </w:style>
  <w:style w:type="character" w:customStyle="1" w:styleId="AttributeTok">
    <w:name w:val="AttributeTok"/>
    <w:basedOn w:val="VerbatimChar"/>
    <w:rPr>
      <w:rFonts w:ascii="Arial" w:hAnsi="Arial" w:cs="Arial" w:eastAsia="Arial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Arial" w:eastAsia="Arial"/>
    </w:rPr>
  </w:style>
  <w:style w:type="character" w:customStyle="1" w:styleId="InformationTok">
    <w:name w:val="Inform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WarningTok">
    <w:name w:val="Warning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AlertTok">
    <w:name w:val="AlertTok"/>
    <w:basedOn w:val="VerbatimChar"/>
    <w:rPr>
      <w:color w:val="ff0000"/>
      <w:rFonts w:ascii="Arial" w:hAnsi="Arial" w:cs="Arial" w:eastAsia="Arial"/>
      <w:b/>
    </w:rPr>
  </w:style>
  <w:style w:type="character" w:customStyle="1" w:styleId="ErrorTok">
    <w:name w:val="ErrorTok"/>
    <w:basedOn w:val="VerbatimChar"/>
    <w:rPr>
      <w:color w:val="ff0000"/>
      <w:rFonts w:ascii="Arial" w:hAnsi="Arial" w:cs="Arial" w:eastAsia="Arial"/>
      <w:b/>
    </w:rPr>
  </w:style>
  <w:style w:type="character" w:customStyle="1" w:styleId="NormalTok">
    <w:name w:val="NormalTok"/>
    <w:basedOn w:val="VerbatimChar"/>
    <w:rPr>
      <w:rFonts w:ascii="Arial" w:hAnsi="Arial" w:cs="Arial" w:eastAsia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40" Type="http://schemas.openxmlformats.org/officeDocument/2006/relationships/image" Target="media/rId40.png"/><Relationship Id="rId43" Type="http://schemas.openxmlformats.org/officeDocument/2006/relationships/image" Target="media/rId43.png"/><Relationship Id="rId46" Type="http://schemas.openxmlformats.org/officeDocument/2006/relationships/image" Target="media/rId46.png"/><Relationship Id="rId52" Type="http://schemas.openxmlformats.org/officeDocument/2006/relationships/image" Target="media/rId52.png"/><Relationship Id="rId28" Type="http://schemas.openxmlformats.org/officeDocument/2006/relationships/image" Target="media/rId28.png"/><Relationship Id="rId37" Type="http://schemas.openxmlformats.org/officeDocument/2006/relationships/image" Target="media/rId37.png"/><Relationship Id="rId49" Type="http://schemas.openxmlformats.org/officeDocument/2006/relationships/image" Target="media/rId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2026-10-24T06:51:37Z</dcterms:created>
  <dcterms:modified xsi:type="dcterms:W3CDTF">2026-10-24T06:51:37Z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