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db6283c5d7b2842f2bcbbcb6194cb244e2a180d"/>
    <w:p>
      <w:pPr>
        <w:pStyle w:val="Heading1"/>
      </w:pPr>
      <w:r>
        <w:t xml:space="preserve">Вопросы к Беловой — Табельная (этап 3), комплекты КР и АР</w:t>
      </w:r>
    </w:p>
    <w:p>
      <w:pPr>
        <w:pStyle w:val="FirstParagraph"/>
      </w:pPr>
      <w:r>
        <w:t xml:space="preserve">Модели:</w:t>
      </w:r>
      <w:r>
        <w:t xml:space="preserve"> </w:t>
      </w:r>
      <w:r>
        <w:rPr>
          <w:bCs/>
          <w:b/>
        </w:rPr>
        <w:t xml:space="preserve">1439-2025-3_Круглое поле_3_КР_КЖ_Ч1_Здание табельной на ст.Круглое поле.ifc</w:t>
      </w:r>
      <w:r>
        <w:t xml:space="preserve">; модель АР Табельной;</w:t>
      </w:r>
      <w:r>
        <w:t xml:space="preserve"> </w:t>
      </w:r>
      <w:r>
        <w:rPr>
          <w:bCs/>
          <w:b/>
        </w:rPr>
        <w:t xml:space="preserve">1439-2025-3_Круглое поле_3_АР_ПОМ_Ч11_Здание табельной на ст.Круглое поле.ifc</w:t>
      </w:r>
      <w:r>
        <w:t xml:space="preserve">.</w:t>
      </w:r>
      <w:r>
        <w:t xml:space="preserve"> </w:t>
      </w:r>
      <w:r>
        <w:t xml:space="preserve">Исходные данные: ПД КР Табельной (разрез 3-3 приямка), типовой проект 3.006-КР-1-2.6, Паспорт технический «Здания инвентарные стандартного исполнения» (апрель 2026), EIR ОЭЗ «Алабуга» (таблицы А1, А2, цвета).</w:t>
      </w:r>
    </w:p>
    <w:bookmarkStart w:id="41" w:name="комплект-кр"/>
    <w:p>
      <w:pPr>
        <w:pStyle w:val="Heading2"/>
      </w:pPr>
      <w:r>
        <w:t xml:space="preserve">Комплект КР</w:t>
      </w:r>
    </w:p>
    <w:p>
      <w:pPr>
        <w:pStyle w:val="FirstParagraph"/>
      </w:pPr>
      <w:r>
        <w:rPr>
          <w:bCs/>
          <w:b/>
        </w:rPr>
        <w:t xml:space="preserve">Общие сведения.</w:t>
      </w:r>
      <w:r>
        <w:t xml:space="preserve"> </w:t>
      </w:r>
      <w:r>
        <w:t xml:space="preserve">Приямок состоит из трёх элементов: сам приямок, крышка и подготовка. Это сборная конструкция. В свою очередь крышка состоит из проката, опирается на закладную.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Приямок.</w:t>
      </w:r>
      <w:r>
        <w:t xml:space="preserve"> </w:t>
      </w:r>
      <w:r>
        <w:t xml:space="preserve">Приямок в модели разбит на отдельные стены, а по ВОР это один элемент. Из-за этого атрибуты и объёмы не сходятся с ВОР. Требуется смоделировать приямок одним элементом. Объём взять по ВОР или по типовому проекту (страница приложена). Атрибуты назначить по таблице А1.</w:t>
      </w:r>
    </w:p>
    <w:p>
      <w:pPr>
        <w:pStyle w:val="CaptionedFigure"/>
      </w:pPr>
      <w:r>
        <w:drawing>
          <wp:inline>
            <wp:extent cx="5767200" cy="37275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9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200" cy="372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Разрез 3-3 приямка: стены, крышка (щит), бетонная подготовка.</w:t>
      </w:r>
    </w:p>
    <w:p>
      <w:pPr>
        <w:pStyle w:val="CaptionedFigure"/>
      </w:pPr>
      <w:r>
        <w:drawing>
          <wp:inline>
            <wp:extent cx="4176924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6924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Типовой проект 3.006-КР-1-2.6: бетон B12,5 (М150) — 0,76 м³ на ПР-1, 0,88 м³ на ПР-2.</w:t>
      </w:r>
    </w:p>
    <w:p>
      <w:pPr>
        <w:pStyle w:val="CaptionedFigure"/>
      </w:pPr>
      <w:r>
        <w:drawing>
          <wp:inline>
            <wp:extent cx="9612000" cy="562468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5624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КР: приямок разбит на «Плиту приямка» и 4 стены «ПР-1 … ПР-1 4».</w:t>
      </w:r>
    </w:p>
    <w:p>
      <w:pPr>
        <w:pStyle w:val="CaptionedFigure"/>
      </w:pPr>
      <w:r>
        <w:drawing>
          <wp:inline>
            <wp:extent cx="8170200" cy="530333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30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EIR, таблица А1 (начало). Для подготовки (столбец «Основание») защитные слои — только при наличии арматуры (+⁴).</w:t>
      </w:r>
    </w:p>
    <w:p>
      <w:pPr>
        <w:pStyle w:val="CaptionedFigure"/>
      </w:pPr>
      <w:r>
        <w:drawing>
          <wp:inline>
            <wp:extent cx="8170200" cy="468424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468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EIR, таблица А1 (окончание): атрибуты для приямка.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Элементы, обозначенные в модели как заземляющие устройства, по документации являются закладными деталями из уголка.</w:t>
      </w:r>
      <w:r>
        <w:t xml:space="preserve"> </w:t>
      </w:r>
      <w:r>
        <w:t xml:space="preserve">Требуется: переименовать элементы в структуре модели и в атрибутах; заполнить атрибуты по таблице А2 (прокат); взять значения атрибутов из ВОР, чертежа или типового проекта. Перед передачей модели требуется сверять элементы с исходной документацией.</w:t>
      </w:r>
    </w:p>
    <w:p>
      <w:pPr>
        <w:pStyle w:val="CaptionedFigure"/>
      </w:pPr>
      <w:r>
        <w:drawing>
          <wp:inline>
            <wp:extent cx="9612000" cy="460757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607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КР: элемент «Заземляющее устройство (полоса/уголок/круг) Б-1 4» — IfcBeam, уголок 63×5.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в атрибутах остались «Марка системы: СЦБ» и «Способ монтажа: В грунт» — для закладной не подходят. «Масса 4,81 кг» — это погонная масса уголка 63×5 по ГОСТ 8509-93 (кг/м); если длина уголка не 1 м, масса элемента указана неверно. Имя в дереве («Заземляющее устройство») не совпадает с атрибутом Name («Уголок стальной»).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Бетонная подготовка.</w:t>
      </w:r>
      <w:r>
        <w:t xml:space="preserve"> </w:t>
      </w:r>
      <w:r>
        <w:t xml:space="preserve">В бетонной подготовке не должно быть арматуры, её требуется удалить. Атрибуты элемента требуется заполнить. Марки у бетонной подготовки нет, этот атрибут оставить пустым.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Фундамент табельной никак не является фундаментом переездного светофора.</w:t>
      </w:r>
      <w:r>
        <w:t xml:space="preserve"> </w:t>
      </w:r>
      <w:r>
        <w:t xml:space="preserve">Объёмы вписать согласно ВОР или спецификации. Объёмный расход арматуры добавить в фундамент. Марки давать согласно типовому или проектной документации.</w:t>
      </w:r>
    </w:p>
    <w:p>
      <w:pPr>
        <w:pStyle w:val="CaptionedFigure"/>
      </w:pPr>
      <w:r>
        <w:drawing>
          <wp:inline>
            <wp:extent cx="9612000" cy="412617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12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КР: плита «Фундамент металлический переездного светофора 12843-00-00А ФМ-1» — панель свойств пустая.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у плиты ФМ-1 не заполнен ни один атрибут (панель свойств пустая).</w:t>
      </w:r>
    </w:p>
    <w:p>
      <w:pPr>
        <w:pStyle w:val="BodyText"/>
      </w:pPr>
      <w:r>
        <w:t xml:space="preserve">Все цвета делать по EIR. Металл рыжий, бетон серый. Уголки, листы и прочее по металлу — рыжим цветом. Номера цветов — в EIR.</w:t>
      </w:r>
    </w:p>
    <w:bookmarkEnd w:id="41"/>
    <w:bookmarkStart w:id="64" w:name="комплект-ар"/>
    <w:p>
      <w:pPr>
        <w:pStyle w:val="Heading2"/>
      </w:pPr>
      <w:r>
        <w:t xml:space="preserve">Комплект АР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Двери входные должны соответствовать по размерам ПД.</w:t>
      </w:r>
      <w:r>
        <w:t xml:space="preserve"> </w:t>
      </w:r>
      <w:r>
        <w:t xml:space="preserve">Привести в соответствие с ПД. Двери межкомнатные должны называться межкомнатными — в модели они представлены как входные металлические. Марки должны соответствовать тому, если они есть (у межкомнатных EI60).</w:t>
      </w:r>
    </w:p>
    <w:p>
      <w:pPr>
        <w:pStyle w:val="CaptionedFigure"/>
      </w:pPr>
      <w:r>
        <w:drawing>
          <wp:inline>
            <wp:extent cx="9612000" cy="348935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48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ПД: входные 960×2050 (6 шт.), межкомнатные 760×2050 (2 шт.) и 860×2050 (9 шт.), EI60. Модель: Д-1 шириной 810.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в дереве все двери названы «Светопрозрачная конструкция / Дверь Д-…», хотя по ПД это глухие стальные двери.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Откорректировать название окон в структуре модели.</w:t>
      </w:r>
      <w:r>
        <w:t xml:space="preserve"> </w:t>
      </w:r>
      <w:r>
        <w:t xml:space="preserve">Почему окна определены как двери? Имя элемента в структуре должно соответствовать значению атрибута Name. Атрибуты окон должны соответствовать ПД (см. скрин).</w:t>
      </w:r>
    </w:p>
    <w:p>
      <w:pPr>
        <w:pStyle w:val="CaptionedFigure"/>
      </w:pPr>
      <w:r>
        <w:drawing>
          <wp:inline>
            <wp:extent cx="3844800" cy="318668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800" cy="3186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модели: окна названы «Светопрозрачная конструкция / Дверь ОК-1 …».</w:t>
      </w:r>
    </w:p>
    <w:p>
      <w:pPr>
        <w:pStyle w:val="CaptionedFigure"/>
      </w:pPr>
      <w:r>
        <w:drawing>
          <wp:inline>
            <wp:extent cx="9612000" cy="426312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263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Окно ОК-1: класс IfcWindow, Name «Окно ПВХ двустворчатое».</w:t>
      </w:r>
    </w:p>
    <w:p>
      <w:pPr>
        <w:pStyle w:val="CaptionedFigure"/>
      </w:pPr>
      <w:r>
        <w:drawing>
          <wp:inline>
            <wp:extent cx="9612000" cy="38416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841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ПД: окна ПВХ Grain-Prestige 70 мм, 1200×1200 — 12 шт. (глухая + поворотно-откидная), 1200×500 — 1 шт. (фрамуга серверной).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«Тип створок: Поворотно-откидная» — по ПД одна створка глухая; не указаны стеклопакет СПО 32 мм, рольставни, москитная сетка, жалюзи; фрамуга 1200×500 серверной в показанном дереве не найдена.</w:t>
      </w:r>
    </w:p>
    <w:bookmarkStart w:id="63" w:name="ар-продолжение"/>
    <w:p>
      <w:pPr>
        <w:pStyle w:val="Heading3"/>
      </w:pPr>
      <w:r>
        <w:t xml:space="preserve">АР, продолжение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Откуда в перегородках гипсокартон?</w:t>
      </w:r>
      <w:r>
        <w:t xml:space="preserve"> </w:t>
      </w:r>
      <w:r>
        <w:t xml:space="preserve">Привести в соответствие Material с ПД и другие атрибуты. Внимание уделить значениям атрибутов — взять их именно из перечня в ПД. Смотреть в ВОР.</w:t>
      </w:r>
    </w:p>
    <w:p>
      <w:pPr>
        <w:pStyle w:val="CaptionedFigure"/>
      </w:pPr>
      <w:r>
        <w:drawing>
          <wp:inline>
            <wp:extent cx="9612000" cy="29637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2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29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ПД: перегородки — сэндвич-панель, базальтовая вата 80 мм; наружные стены — 120 мм. Модель: Ст-16 «Сэндвич панель стеновая 105мм», Material «Листы гипсокартонные влагостойкие…».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толщины 105 мм в ПД нет: перегородки ≈80 мм (+ облицовка 2×0,7), наружные стены — 120 мм.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Характеристики по потолку и кровле расписать из указанных в ПД.</w:t>
      </w:r>
      <w:r>
        <w:t xml:space="preserve"> </w:t>
      </w:r>
      <w:r>
        <w:t xml:space="preserve">Марки, плотности, толщины.</w:t>
      </w:r>
    </w:p>
    <w:p>
      <w:pPr>
        <w:pStyle w:val="CaptionedFigure"/>
      </w:pPr>
      <w:r>
        <w:drawing>
          <wp:inline>
            <wp:extent cx="9612000" cy="325906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2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259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ПД: кровля — профлист НС-44 0,7 мм, утеплитель Роквул Лайт Баттс Скандик 35 кг/м³, 150 мм (50+50+50), пароизоляция п/э 200 мкм. Модель: К-1.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потолок в модели «Армстронг 32мм», по ПД плита «Армстронг Скала» 12 мм + черновой потолок НС-8 0,7 мм и подвесная система «Албес Евро»; второй «Лист оцинкованный 0.7мм» в кровле, вероятно, относится к черновому потолку; в атрибутах кровли смешаны единицы (мм и м), периметр 48599.999…; марка «П-1» одновременно у подоконника, потолка и подготовки КР.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Оси по этажам не дублировать!!!</w:t>
      </w:r>
      <w:r>
        <w:t xml:space="preserve"> </w:t>
      </w:r>
      <w:r>
        <w:t xml:space="preserve">Эти здания одноэтажные, достаточно осей с одного этажа.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Помещение 9 — что за агузок?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табельной не увидел файлов с мебелью.</w:t>
      </w:r>
    </w:p>
    <w:p>
      <w:pPr>
        <w:pStyle w:val="CaptionedFigure"/>
      </w:pPr>
      <w:r>
        <w:drawing>
          <wp:inline>
            <wp:extent cx="7689600" cy="550221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2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9600" cy="5502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помещений: оси продублированы, помещение 9 — Г-образная полоса вдоль стен.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в модели помещений не заполнена шапка: Проект «Номер проекта», Площадка «Default», Здание «Наименование здания».</w:t>
      </w:r>
    </w:p>
    <w:bookmarkEnd w:id="63"/>
    <w:bookmarkEnd w:id="64"/>
    <w:bookmarkStart w:id="65" w:name="дополнительно-оговариваю"/>
    <w:p>
      <w:pPr>
        <w:pStyle w:val="Heading2"/>
      </w:pPr>
      <w:r>
        <w:t xml:space="preserve">Дополнительно оговариваю!!!</w:t>
      </w:r>
    </w:p>
    <w:p>
      <w:pPr>
        <w:pStyle w:val="FirstParagraph"/>
      </w:pPr>
      <w:r>
        <w:t xml:space="preserve">Все цвета делать по EIR. Металл рыжий, бетон серый. За этим внимательно слежу. Уголки, листы и прочее по металлу — рыжим цветом. Номера цветов — в EIR.</w:t>
      </w:r>
    </w:p>
    <w:bookmarkEnd w:id="65"/>
    <w:bookmarkEnd w:id="66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2">
    <w:nsid w:val="A9920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Roman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abstractNum w:abstractNumId="99205">
    <w:nsid w:val="A9920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lowerLetter"/>
      <w:lvlText w:val="%2."/>
      <w:lvlJc w:val="left"/>
      <w:pPr>
        <w:ind w:left="1440" w:hanging="480"/>
      </w:pPr>
    </w:lvl>
    <w:lvl w:ilvl="2">
      <w:start w:val="5"/>
      <w:numFmt w:val="lowerRoman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lowerLetter"/>
      <w:lvlText w:val="%5."/>
      <w:lvlJc w:val="left"/>
      <w:pPr>
        <w:ind w:left="3600" w:hanging="480"/>
      </w:pPr>
    </w:lvl>
    <w:lvl w:ilvl="5">
      <w:start w:val="5"/>
      <w:numFmt w:val="lowerRoman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lowerLetter"/>
      <w:lvlText w:val="%8."/>
      <w:lvlJc w:val="left"/>
      <w:pPr>
        <w:ind w:left="5760" w:hanging="480"/>
      </w:pPr>
    </w:lvl>
    <w:lvl w:ilvl="8">
      <w:start w:val="5"/>
      <w:numFmt w:val="lowerRoman"/>
      <w:lvlText w:val="%9."/>
      <w:lvlJc w:val="left"/>
      <w:pPr>
        <w:ind w:left="6480" w:hanging="480"/>
      </w:pPr>
    </w:lvl>
  </w:abstractNum>
  <w:abstractNum w:abstractNumId="99206">
    <w:nsid w:val="A9920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lowerLetter"/>
      <w:lvlText w:val="%2."/>
      <w:lvlJc w:val="left"/>
      <w:pPr>
        <w:ind w:left="1440" w:hanging="480"/>
      </w:pPr>
    </w:lvl>
    <w:lvl w:ilvl="2">
      <w:start w:val="6"/>
      <w:numFmt w:val="lowerRoman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lowerLetter"/>
      <w:lvlText w:val="%5."/>
      <w:lvlJc w:val="left"/>
      <w:pPr>
        <w:ind w:left="3600" w:hanging="480"/>
      </w:pPr>
    </w:lvl>
    <w:lvl w:ilvl="5">
      <w:start w:val="6"/>
      <w:numFmt w:val="lowerRoman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lowerLetter"/>
      <w:lvlText w:val="%8."/>
      <w:lvlJc w:val="left"/>
      <w:pPr>
        <w:ind w:left="5760" w:hanging="480"/>
      </w:pPr>
    </w:lvl>
    <w:lvl w:ilvl="8">
      <w:start w:val="6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29" Type="http://schemas.openxmlformats.org/officeDocument/2006/relationships/image" Target="media/rId29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2026-10-23T05:42:43Z</dcterms:created>
  <dcterms:modified xsi:type="dcterms:W3CDTF">2026-10-23T05:42:43Z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