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c56a015ecfe689d3f877b867f53cc4a15080bbb"/>
    <w:p>
      <w:pPr>
        <w:pStyle w:val="Heading1"/>
      </w:pPr>
      <w:r>
        <w:t xml:space="preserve">Вопросы к Пятнице — этап 4, ПЗУ (7 моделей IFC)</w:t>
      </w:r>
    </w:p>
    <w:p>
      <w:pPr>
        <w:pStyle w:val="FirstParagraph"/>
      </w:pPr>
      <w:r>
        <w:t xml:space="preserve">Папка:</w:t>
      </w:r>
      <w:r>
        <w:t xml:space="preserve"> </w:t>
      </w:r>
      <w:r>
        <w:rPr>
          <w:bCs/>
          <w:b/>
        </w:rPr>
        <w:t xml:space="preserve">ЖД станция / Работа над ошибками / Пятница</w:t>
      </w:r>
      <w:r>
        <w:t xml:space="preserve">. Модели сверены с ПД</w:t>
      </w:r>
      <w:r>
        <w:t xml:space="preserve"> </w:t>
      </w:r>
      <w:r>
        <w:rPr>
          <w:bCs/>
          <w:b/>
        </w:rPr>
        <w:t xml:space="preserve">Раздел ПД №4 Подраздел №1 Часть №1 ИЛО1.1 (Парк_ПЗУ)(1439_2025_4).pdf</w:t>
      </w:r>
      <w:r>
        <w:t xml:space="preserve">,</w:t>
      </w:r>
      <w:r>
        <w:t xml:space="preserve"> </w:t>
      </w:r>
      <w:r>
        <w:rPr>
          <w:bCs/>
          <w:b/>
        </w:rPr>
        <w:t xml:space="preserve">Раздел ПД №4 Подраздел №2 Часть №1 ИЛО2.1 (СП_ПЗУ)(1439_2025_4).pdf</w:t>
      </w:r>
      <w:r>
        <w:t xml:space="preserve"> </w:t>
      </w:r>
      <w:r>
        <w:t xml:space="preserve">(+ DXF ИЛО1.1, ИЛО2.1) и РД</w:t>
      </w:r>
      <w:r>
        <w:t xml:space="preserve"> </w:t>
      </w:r>
      <w:r>
        <w:rPr>
          <w:bCs/>
          <w:b/>
        </w:rPr>
        <w:t xml:space="preserve">21_1439_2025_4-ГП.ДП (Парк) 26.09.24.pdf</w:t>
      </w:r>
      <w:r>
        <w:t xml:space="preserve">,</w:t>
      </w:r>
      <w:r>
        <w:t xml:space="preserve"> </w:t>
      </w:r>
      <w:r>
        <w:rPr>
          <w:bCs/>
          <w:b/>
        </w:rPr>
        <w:t xml:space="preserve">24_1439_2025_4-ГП.СП (Стрелки) 26.09.24.pdf</w:t>
      </w:r>
      <w:r>
        <w:t xml:space="preserve">.</w:t>
      </w:r>
      <w:r>
        <w:t xml:space="preserve"> </w:t>
      </w:r>
      <w:r>
        <w:t xml:space="preserve">Проверено: отметки (точечные, проектные горизонтали, 0.000 зданий, уклоны), посадка зданий, бортовой камень, состав слоёв, атрибуты, структура, цвета.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6357"/>
        <w:gridCol w:w="6357"/>
        <w:gridCol w:w="2421"/>
      </w:tblGrid>
      <w:tr>
        <w:trPr>
          <w:tblHeader w:val="true"/>
        </w:trP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Файл модели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Площадка по ПД (так и называть файл)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Том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поле_4_ГП_ПЗУ_Ч1_Компрессорная №4.ifc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Площадка в районе чётной горловины проектируемого Парка (9 позиций)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ИЛО1.1, лист 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поле_4_ГП_ПЗУ_Ч2_Компрессорная №6.ifc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Площадка в районе нечётной горловины проектируемого Парка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ИЛО1.1, лист 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поле_4_ГП_ПЗУ_Ч5_Компрессорная №1.ifc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Площадка в районе стрелочных переводов №5, 7, 35, 37, 39, 41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ИЛО2.1, лист 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поле_4_ГП_ПЗУ_Ч6_Компрессорная №2.ifc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Площадка в районе стрелочных переводов №1, 3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ИЛО2.1, лист 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поле_4_ГП_ПЗУ_Ч7_Компрессорная №3.ifc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Площадка в районе стрелочных переводов №302, 304, 306, 308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ИЛО2.1, лист 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поле_4_ГП_ПЗУ_Ч3_Площадка водоподготовки.ifc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в ПД ИЛО1.1 / ИЛО2.1 такой площадки нет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поле_4_ГП_ПЗУ_Ч4_Площадка ЛОС.ifc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в ПД ИЛО1.1 / ИЛО2.1 такой площадки нет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35" w:name="общие-замечания-ч1-ч2-ч5-ч6-ч7"/>
    <w:p>
      <w:pPr>
        <w:pStyle w:val="Heading2"/>
      </w:pPr>
      <w:r>
        <w:t xml:space="preserve">Общие замечания — Ч1, Ч2, Ч5, Ч6, Ч7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Названия.</w:t>
      </w:r>
      <w:r>
        <w:t xml:space="preserve"> </w:t>
      </w:r>
      <w:r>
        <w:t xml:space="preserve">Файлы названы по одной компрессорной. Название необходимо давать по локации площадки относительно стрелочных переводов / горловины Парка (см. таблицу выше). Номера «Компрессорная №1…№6» к тому же не совпадают с номерами позиций в ПД (компрессорные по ПД — поз. 1, 6, 11 в ИЛО2.1 и поз. 6, 12 в ИЛО1.1).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Бортовой камень установлен без перепада.</w:t>
      </w:r>
      <w:r>
        <w:t xml:space="preserve"> </w:t>
      </w:r>
      <w:r>
        <w:t xml:space="preserve">По узлу ПД верх БР 100.20.8 в уровень с тротуаром/отмосткой, газон ниже верха борта на 0,03 м. Во всех пяти моделях газон в уровень с бортом (местами выше). Внести правки.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Цвета элементов.</w:t>
      </w:r>
      <w:r>
        <w:t xml:space="preserve"> </w:t>
      </w:r>
      <w:r>
        <w:t xml:space="preserve">Бортовой камень белый — бетон серый, исправить цвет бордюров. Номера цветов сверить с EIR.</w:t>
      </w:r>
    </w:p>
    <w:p>
      <w:pPr>
        <w:pStyle w:val="CaptionedFigure"/>
      </w:pPr>
      <w:r>
        <w:drawing>
          <wp:inline>
            <wp:extent cx="9612000" cy="260153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3_борт_без_перепада_и_цвет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260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Узел ПД и разрез модели Ч5 по бортовому камню. Так же — в Ч1, Ч2, Ч6, Ч7.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Атрибуты по материалам не соответствуют ПД и ВОР</w:t>
      </w:r>
      <w:r>
        <w:t xml:space="preserve"> </w:t>
      </w:r>
      <w:r>
        <w:t xml:space="preserve">(одинаково во всех пяти моделях):</w:t>
      </w:r>
    </w:p>
    <w:p>
      <w:pPr>
        <w:numPr>
          <w:ilvl w:val="1"/>
          <w:numId w:val="1003"/>
        </w:numPr>
        <w:pStyle w:val="Compact"/>
      </w:pPr>
      <w:r>
        <w:t xml:space="preserve">покрытие: «битум БНД 70/100, ГОСТ 33133-2014» → по ПД битум</w:t>
      </w:r>
      <w:r>
        <w:t xml:space="preserve"> </w:t>
      </w:r>
      <w:r>
        <w:rPr>
          <w:bCs/>
          <w:b/>
        </w:rPr>
        <w:t xml:space="preserve">PG 64-22, ГОСТ Р 58400.1-2019</w:t>
      </w:r>
      <w:r>
        <w:t xml:space="preserve">; вместо «подгрунтовки битумом» по ПД розлив битумной эмульсии ЭБДК-Б (ГОСТ Р 58952.1-2020);</w:t>
      </w:r>
    </w:p>
    <w:p>
      <w:pPr>
        <w:numPr>
          <w:ilvl w:val="1"/>
          <w:numId w:val="1003"/>
        </w:numPr>
        <w:pStyle w:val="Compact"/>
      </w:pPr>
      <w:r>
        <w:t xml:space="preserve">основание: «щебёночно-гравийно-песчаное С4», материал «щебень фр. 31,5–63» → по ПД</w:t>
      </w:r>
      <w:r>
        <w:t xml:space="preserve"> </w:t>
      </w:r>
      <w:r>
        <w:rPr>
          <w:bCs/>
          <w:b/>
        </w:rPr>
        <w:t xml:space="preserve">щебень М600 фр. 16–31,5 мм, ГОСТ 32703-2014</w:t>
      </w:r>
      <w:r>
        <w:t xml:space="preserve">; опечатка «песчанное»;</w:t>
      </w:r>
    </w:p>
    <w:p>
      <w:pPr>
        <w:numPr>
          <w:ilvl w:val="1"/>
          <w:numId w:val="1003"/>
        </w:numPr>
        <w:pStyle w:val="Compact"/>
      </w:pPr>
      <w:r>
        <w:t xml:space="preserve">песок: в имени «очень мелкий», в материале «Песок мелкий» → по ПД</w:t>
      </w:r>
      <w:r>
        <w:t xml:space="preserve"> </w:t>
      </w:r>
      <w:r>
        <w:rPr>
          <w:bCs/>
          <w:b/>
        </w:rPr>
        <w:t xml:space="preserve">песок очень мелкий, Кф &gt; 1 м/сут, ГОСТ 32824-2014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бортовой камень: в имени ГОСТ 32961-2014, в «Обозначении стандарта» ГОСТ 6663-91;</w:t>
      </w:r>
    </w:p>
    <w:p>
      <w:pPr>
        <w:numPr>
          <w:ilvl w:val="1"/>
          <w:numId w:val="1003"/>
        </w:numPr>
        <w:pStyle w:val="Compact"/>
      </w:pPr>
      <w:r>
        <w:t xml:space="preserve">бетон под борт: F150 → по ПД</w:t>
      </w:r>
      <w:r>
        <w:t xml:space="preserve"> </w:t>
      </w:r>
      <w:r>
        <w:rPr>
          <w:bCs/>
          <w:b/>
        </w:rPr>
        <w:t xml:space="preserve">B15 F50 W4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щебень под борт: в одном имени «М400» и «М-600», в марке опечатка «фр. 16-31.55» → по ПД щебень М-400 фр. 16–31,5;</w:t>
      </w:r>
    </w:p>
    <w:p>
      <w:pPr>
        <w:numPr>
          <w:ilvl w:val="1"/>
          <w:numId w:val="1003"/>
        </w:numPr>
        <w:pStyle w:val="Compact"/>
      </w:pPr>
      <w:r>
        <w:t xml:space="preserve">ЭППС: марка и стандарт «-», опечатка «Экстридированный пенополистерол» (правильно «экструдированный пенополистирол»);</w:t>
      </w:r>
    </w:p>
    <w:p>
      <w:pPr>
        <w:numPr>
          <w:ilvl w:val="1"/>
          <w:numId w:val="1003"/>
        </w:numPr>
        <w:pStyle w:val="Compact"/>
      </w:pPr>
      <w:r>
        <w:t xml:space="preserve">откос: «Тип конструкции» то «Покрытие», то «Озеленение» (Ч5) — привести к одному;</w:t>
      </w:r>
    </w:p>
    <w:p>
      <w:pPr>
        <w:numPr>
          <w:ilvl w:val="1"/>
          <w:numId w:val="1003"/>
        </w:numPr>
        <w:pStyle w:val="Compact"/>
      </w:pPr>
      <w:r>
        <w:t xml:space="preserve">«Обратная засыпка местным грунтом» — такого слоя в узле ПД нет; при «Толщине 0,1» фактически 0,15–0,25 м. Подтвердить или убрать.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Конструкция «Тип 2. Отмостка».</w:t>
      </w:r>
      <w:r>
        <w:t xml:space="preserve"> </w:t>
      </w:r>
      <w:r>
        <w:t xml:space="preserve">Ни в одной модели нет слоя «Гидроизоляция» — ЭППС лежит сразу под щебнем.</w:t>
      </w:r>
    </w:p>
    <w:p>
      <w:pPr>
        <w:pStyle w:val="CaptionedFigure"/>
      </w:pPr>
      <w:r>
        <w:drawing>
          <wp:inline>
            <wp:extent cx="8074175" cy="60479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5_атрибуты_тротуар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4175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1 по ПД и атрибуты слоёв в модели Ч5 (те же значения в Ч1, Ч2, Ч6, Ч7).</w:t>
      </w:r>
    </w:p>
    <w:p>
      <w:pPr>
        <w:pStyle w:val="CaptionedFigure"/>
      </w:pPr>
      <w:r>
        <w:drawing>
          <wp:inline>
            <wp:extent cx="9076290" cy="604799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6_атрибуты_борт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6290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Узел бортового камня по ПД и атрибуты борта, бетона и щебня под ним в модели Ч5.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Атрибут «Шифр проекта»</w:t>
      </w:r>
      <w:r>
        <w:t xml:space="preserve"> </w:t>
      </w:r>
      <w:r>
        <w:t xml:space="preserve">не соответствует номеру тома: Ч5, Ч6 — «4.3.1», должно быть 4.2.1 (Раздел 4, Подраздел 2, Часть 1 ИЛО2.1); Ч7 — «1439-2025-3-ИЛО2.1-02» (этап 3 и другой формат).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Обязательные атрибуты.</w:t>
      </w:r>
      <w:r>
        <w:t xml:space="preserve"> </w:t>
      </w:r>
      <w:r>
        <w:t xml:space="preserve">У каждого элемента в наборе «EIR SEZ ALABUGA» должны быть: «Шифр проекта», «Name», «Material», «Уровень». Во всех моделях (Ч1–Ч7, а также 1439-2025-3_…_Ч3_Участок здания табельной и 1439-2025-5_…_Ч1, Ч2) атрибутов</w:t>
      </w:r>
      <w:r>
        <w:t xml:space="preserve"> </w:t>
      </w:r>
      <w:r>
        <w:rPr>
          <w:bCs/>
          <w:b/>
        </w:rPr>
        <w:t xml:space="preserve">«Name» и «Material» нет</w:t>
      </w:r>
      <w:r>
        <w:t xml:space="preserve"> </w:t>
      </w:r>
      <w:r>
        <w:t xml:space="preserve">— вместо них заведены «Имя» и «Материал». Переименовать атрибуты по EIR (п. 4.3, 4.4).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Структура проекта.</w:t>
      </w:r>
      <w:r>
        <w:t xml:space="preserve"> </w:t>
      </w:r>
      <w:r>
        <w:t xml:space="preserve">Отсутствуют классы и имена элементов: все элементы IfcBuildingElementProxy с пустым Name («$»), имя проекта пустое, площадка «DefaultSite», IfcMaterial не назначены.</w:t>
      </w:r>
    </w:p>
    <w:p>
      <w:pPr>
        <w:pStyle w:val="CaptionedFigure"/>
      </w:pPr>
      <w:r>
        <w:drawing>
          <wp:inline>
            <wp:extent cx="7689600" cy="181836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12_шифр_проекта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600" cy="181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 проекта по всем 7 моделям.</w:t>
      </w:r>
    </w:p>
    <w:p>
      <w:pPr>
        <w:pStyle w:val="CaptionedFigure"/>
      </w:pPr>
      <w:r>
        <w:drawing>
          <wp:inline>
            <wp:extent cx="7209000" cy="317196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11_структура_проекта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000" cy="3171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модели Ч5 (так же во всех 7 моделях).</w:t>
      </w:r>
    </w:p>
    <w:bookmarkEnd w:id="35"/>
    <w:bookmarkStart w:id="42" w:name="X510a03d5fd98dd74ba0e504f59b67b8acff2b48"/>
    <w:p>
      <w:pPr>
        <w:pStyle w:val="Heading2"/>
      </w:pPr>
      <w:r>
        <w:t xml:space="preserve">1439-2025-4_Круглое поле_4_ГП_ПЗУ_Ч5_Компрессорная №1.ifc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Рельеф площадки не соответствует ПД.</w:t>
      </w:r>
      <w:r>
        <w:t xml:space="preserve"> </w:t>
      </w:r>
      <w:r>
        <w:t xml:space="preserve">Восточная часть площадки поднята на</w:t>
      </w:r>
      <w:r>
        <w:t xml:space="preserve"> </w:t>
      </w:r>
      <w:r>
        <w:rPr>
          <w:bCs/>
          <w:b/>
        </w:rPr>
        <w:t xml:space="preserve">+0,45 м</w:t>
      </w:r>
      <w:r>
        <w:t xml:space="preserve"> </w:t>
      </w:r>
      <w:r>
        <w:t xml:space="preserve">(углы 189,70 / 189,78 при проектных 189,25 / 189,33), западные углы совпадают. По ПД площадка падает на восток 5–6‰, в модели — поднимается на восток. Расхождение с проектными горизонталями — на ~60% площади. Внести правки.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Здания засыпаны.</w:t>
      </w:r>
      <w:r>
        <w:t xml:space="preserve"> </w:t>
      </w:r>
      <w:r>
        <w:t xml:space="preserve">Отметка поверхности у зданий выше 0.000 по РД: поз. 2 (пункт обогрева) +0,37 м, поз. 3 (туалет) +0,27 м, поз. 1 (компрессорная) +0,18 м, поз. 4 (ТП) +0,06 м. Отметки выборочной площадки зданий не соответствуют документации.</w:t>
      </w:r>
    </w:p>
    <w:p>
      <w:pPr>
        <w:numPr>
          <w:ilvl w:val="0"/>
          <w:numId w:val="1005"/>
        </w:numPr>
        <w:pStyle w:val="Compact"/>
      </w:pPr>
      <w:r>
        <w:t xml:space="preserve">Из-за подъёма откос на севере выходит за границу благоустройства (~18 м²).</w:t>
      </w:r>
    </w:p>
    <w:p>
      <w:pPr>
        <w:numPr>
          <w:ilvl w:val="0"/>
          <w:numId w:val="1005"/>
        </w:numPr>
        <w:pStyle w:val="Compact"/>
      </w:pPr>
      <w:r>
        <w:t xml:space="preserve">Геотекстиль: в атрибуте «Площадь» 146,7 м² (объём 0,44), по геометрии 44,0 м².</w:t>
      </w:r>
    </w:p>
    <w:p>
      <w:pPr>
        <w:numPr>
          <w:ilvl w:val="0"/>
          <w:numId w:val="1005"/>
        </w:numPr>
        <w:pStyle w:val="Compact"/>
      </w:pPr>
      <w:r>
        <w:t xml:space="preserve">Шифр «4.3.1» → 4.2.1 (см. общий п. 6).</w:t>
      </w:r>
    </w:p>
    <w:p>
      <w:pPr>
        <w:pStyle w:val="Figure"/>
      </w:pPr>
      <w:r>
        <w:drawing>
          <wp:inline>
            <wp:extent cx="7734014" cy="6047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1_Ч5_рельеф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014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666457" cy="604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2_Ч5_здания_засыпаны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457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52" w:name="X31f9ea7c3aee4443e810bd2af8dd18dd888b6dd"/>
    <w:p>
      <w:pPr>
        <w:pStyle w:val="Heading2"/>
      </w:pPr>
      <w:r>
        <w:t xml:space="preserve">1439-2025-4_Круглое поле_4_ГП_ПЗУ_Ч1_Компрессорная №4.ifc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Отмостка «Тип 2» без утеплителя.</w:t>
      </w:r>
      <w:r>
        <w:t xml:space="preserve"> </w:t>
      </w:r>
      <w:r>
        <w:t xml:space="preserve">ЭППС смоделирован только у поз. 2 (МК АТС) — 56 м² из ~258 м² отмосток. У остальных зданий между щебнем и песком пустой зазор 0,05 м. Гидроизоляции нет нигде.</w:t>
      </w:r>
    </w:p>
    <w:p>
      <w:pPr>
        <w:numPr>
          <w:ilvl w:val="0"/>
          <w:numId w:val="1006"/>
        </w:numPr>
        <w:pStyle w:val="Compact"/>
      </w:pPr>
      <w:r>
        <w:t xml:space="preserve">8 элементов-обрезков геотекстиля (Площадь = 0, объём ≈ 0) — удалить.</w:t>
      </w:r>
    </w:p>
    <w:p>
      <w:pPr>
        <w:numPr>
          <w:ilvl w:val="0"/>
          <w:numId w:val="1006"/>
        </w:numPr>
        <w:pStyle w:val="Compact"/>
      </w:pPr>
      <w:r>
        <w:t xml:space="preserve">Юго-западный край: модель не доходит до границы благоустройства (полоса до ~1,5 м, ≈130 м²), откос/газон местами выше проектных горизонталей на 0,12–0,18 м — проверить.</w:t>
      </w:r>
    </w:p>
    <w:p>
      <w:pPr>
        <w:numPr>
          <w:ilvl w:val="0"/>
          <w:numId w:val="1006"/>
        </w:numPr>
        <w:pStyle w:val="Compact"/>
      </w:pPr>
      <w:r>
        <w:t xml:space="preserve">Остальной рельеф и посадка всех 8 зданий соответствуют ПД/РД (±0,02 м).</w:t>
      </w:r>
    </w:p>
    <w:p>
      <w:pPr>
        <w:pStyle w:val="Figure"/>
      </w:pPr>
      <w:r>
        <w:drawing>
          <wp:inline>
            <wp:extent cx="9612000" cy="337693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4_Ч1_нет_ЭППС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37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8170200" cy="54468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10_Ч1_край_площадки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44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7_обрезки_Ч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X0de8f20ae516cdee45916974a7fca4fff82098b"/>
    <w:p>
      <w:pPr>
        <w:pStyle w:val="Heading2"/>
      </w:pPr>
      <w:r>
        <w:t xml:space="preserve">1439-2025-4_Круглое поле_4_ГП_ПЗУ_Ч2_Компрессорная №6.ifc</w:t>
      </w:r>
    </w:p>
    <w:p>
      <w:pPr>
        <w:numPr>
          <w:ilvl w:val="0"/>
          <w:numId w:val="1007"/>
        </w:numPr>
        <w:pStyle w:val="Compact"/>
      </w:pPr>
      <w:r>
        <w:t xml:space="preserve">7 элементов-обрезков (4 газона, 2 ЭППС, 1 геотекстиль) — удалить.</w:t>
      </w:r>
    </w:p>
    <w:p>
      <w:pPr>
        <w:numPr>
          <w:ilvl w:val="0"/>
          <w:numId w:val="1007"/>
        </w:numPr>
        <w:pStyle w:val="Compact"/>
      </w:pPr>
      <w:r>
        <w:t xml:space="preserve">Рельеф, отметки, посадка зданий соответствуют ПД (±0,05 м).</w:t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7_обрезки_Ч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e816ec5281c5c3e930e822390bd080c859383e4"/>
    <w:p>
      <w:pPr>
        <w:pStyle w:val="Heading2"/>
      </w:pPr>
      <w:r>
        <w:t xml:space="preserve">1439-2025-4_Круглое поле_4_ГП_ПЗУ_Ч6_Компрессорная №2.ifc</w:t>
      </w:r>
    </w:p>
    <w:p>
      <w:pPr>
        <w:numPr>
          <w:ilvl w:val="0"/>
          <w:numId w:val="1008"/>
        </w:numPr>
        <w:pStyle w:val="Compact"/>
      </w:pPr>
      <w:r>
        <w:t xml:space="preserve">1 обрезок ЭППС — удалить.</w:t>
      </w:r>
    </w:p>
    <w:p>
      <w:pPr>
        <w:numPr>
          <w:ilvl w:val="0"/>
          <w:numId w:val="1008"/>
        </w:numPr>
        <w:pStyle w:val="Compact"/>
      </w:pPr>
      <w:r>
        <w:t xml:space="preserve">Шифр «4.3.1» → 4.2.1.</w:t>
      </w:r>
    </w:p>
    <w:p>
      <w:pPr>
        <w:numPr>
          <w:ilvl w:val="0"/>
          <w:numId w:val="1008"/>
        </w:numPr>
        <w:pStyle w:val="Compact"/>
      </w:pPr>
      <w:r>
        <w:t xml:space="preserve">Рельеф, уклоны (21‰, 5‰) и посадка зданий соответствуют ПД/РД.</w:t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7_обрезки_Ч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7" w:name="Xc7e4cb567e44979f0916c18097d72660290f0f5"/>
    <w:p>
      <w:pPr>
        <w:pStyle w:val="Heading2"/>
      </w:pPr>
      <w:r>
        <w:t xml:space="preserve">1439-2025-4_Круглое поле_4_ГП_ПЗУ_Ч7_Компрессорная №3.ifc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Атрибут «Материал» пустой у всех 41 элемента</w:t>
      </w:r>
      <w:r>
        <w:t xml:space="preserve"> </w:t>
      </w:r>
      <w:r>
        <w:t xml:space="preserve">(и, как во всех моделях, нет атрибута «Material»). Заполнить по ПД.</w:t>
      </w:r>
    </w:p>
    <w:p>
      <w:pPr>
        <w:numPr>
          <w:ilvl w:val="0"/>
          <w:numId w:val="1009"/>
        </w:numPr>
        <w:pStyle w:val="Compact"/>
      </w:pPr>
      <w:r>
        <w:t xml:space="preserve">Шифр «1439-2025-3-ИЛО2.1-02» → 4.2.1. 1439-2025-4-ИЛО2.1.</w:t>
      </w:r>
    </w:p>
    <w:p>
      <w:pPr>
        <w:numPr>
          <w:ilvl w:val="0"/>
          <w:numId w:val="1009"/>
        </w:numPr>
        <w:pStyle w:val="Compact"/>
      </w:pPr>
      <w:r>
        <w:t xml:space="preserve">7 обрезков (6 газона, 1 песка) — удалить.</w:t>
      </w:r>
    </w:p>
    <w:p>
      <w:pPr>
        <w:numPr>
          <w:ilvl w:val="0"/>
          <w:numId w:val="1009"/>
        </w:numPr>
        <w:pStyle w:val="Compact"/>
      </w:pPr>
      <w:r>
        <w:t xml:space="preserve">Рельеф, уклоны и посадка зданий соответствуют ПД/РД.</w:t>
      </w:r>
    </w:p>
    <w:p>
      <w:pPr>
        <w:pStyle w:val="Figure"/>
      </w:pPr>
      <w:r>
        <w:drawing>
          <wp:inline>
            <wp:extent cx="7209000" cy="255486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13_Ч7_материал_пустой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000" cy="255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7_обрезки_Ч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80" w:name="Xeb739450e640cdfea27d68112b7dd344915faf6"/>
    <w:p>
      <w:pPr>
        <w:pStyle w:val="Heading2"/>
      </w:pPr>
      <w:r>
        <w:t xml:space="preserve">1439-2025-4_Круглое поле_4_ГП_ПЗУ_Ч3_Площадка водоподготовки.ifc и 1439-2025-4_Круглое поле_4_ГП_ПЗУ_Ч4_Площадка ЛОС.ifc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ПД на эти площадки в составе материалов нет</w:t>
      </w:r>
      <w:r>
        <w:t xml:space="preserve">, при этом шифр указан «4.1.1. …ИЛО1.1», а в ИЛО1.1 только две площадки Парка. Указать правильный том и предоставить ПД — рельеф и конструкции сверить не с чем.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Обрезки после нарезки:</w:t>
      </w:r>
      <w:r>
        <w:t xml:space="preserve"> </w:t>
      </w:r>
      <w:r>
        <w:t xml:space="preserve">Ч4 — 134 из 157 элементов (74 асфальта А32Нн, 60 щебня), Ч3 — 27 элементов. Кроме того, есть «слои щебня 0,22», которые фактически плёнка толщиной 2–3 мм. Удалить/пересобрать.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Ч3, газон «Укрепление засевом трав»:</w:t>
      </w:r>
      <w:r>
        <w:t xml:space="preserve"> </w:t>
      </w:r>
      <w:r>
        <w:t xml:space="preserve">смоделирован квадратом ~97×97 м вокруг площадки с «веером» треугольников; все грани развёрнуты вниз (нормали наоборот), верхней поверхности нет; в атрибуте 8 725 м².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Ч4, «Обочина»:</w:t>
      </w:r>
      <w:r>
        <w:t xml:space="preserve"> </w:t>
      </w:r>
      <w:r>
        <w:t xml:space="preserve">в атрибуте 1 984,8 м² и 297,7 м³, по геометрии ~315 м².</w:t>
      </w:r>
    </w:p>
    <w:p>
      <w:pPr>
        <w:numPr>
          <w:ilvl w:val="0"/>
          <w:numId w:val="1010"/>
        </w:numPr>
        <w:pStyle w:val="Compact"/>
      </w:pPr>
      <w:r>
        <w:t xml:space="preserve">Ч3: песок 0,29 местами пересекается со щебнем (наложение до 0,29 м).</w:t>
      </w:r>
    </w:p>
    <w:p>
      <w:pPr>
        <w:numPr>
          <w:ilvl w:val="0"/>
          <w:numId w:val="1010"/>
        </w:numPr>
        <w:pStyle w:val="Compact"/>
      </w:pPr>
      <w:r>
        <w:t xml:space="preserve">БР 100.30.15: обозначение стандарта «ГОСТ 100.30.15»; у основания под ним ГОСТ на борт (32961-2014), «Толщина 0,5» при фактической 0,1–0,2; марка «B15 W4 F150» латиницей.</w:t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7_обрезки_Ч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7_обрезки_Ч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9_Ч3_газон_нормали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8170200" cy="517446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final/08_Ч4_обочина_площадь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0200" cy="517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перед-передачей-модели"/>
    <w:p>
      <w:pPr>
        <w:pStyle w:val="Heading2"/>
      </w:pPr>
      <w:r>
        <w:t xml:space="preserve">Перед передачей модели</w:t>
      </w:r>
    </w:p>
    <w:p>
      <w:pPr>
        <w:pStyle w:val="FirstParagraph"/>
      </w:pPr>
      <w:r>
        <w:t xml:space="preserve">Сверять элементы с исходной документацией (ПД, ВОР): отметки по СОР и 0.000 зданий, узел бортового камня, состав «Тип 1» / «Тип 2», атрибуты — по перечню в ПД; удалять обрезки; цвета — по EIR.</w:t>
      </w:r>
    </w:p>
    <w:bookmarkEnd w:id="81"/>
    <w:bookmarkEnd w:id="82"/>
    <w:sectPr>
      <w:pgSz w:orient="landscape" w:w="16838" w:h="11906"/>
      <w:pgMar w:left="850" w:right="850" w:top="737" w:bottom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204">
    <w:nsid w:val="A9920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Roman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Roman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6">
    <w:nsid w:val="A9920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lowerLetter"/>
      <w:lvlText w:val="%2."/>
      <w:lvlJc w:val="left"/>
      <w:pPr>
        <w:ind w:left="1440" w:hanging="480"/>
      </w:pPr>
    </w:lvl>
    <w:lvl w:ilvl="2">
      <w:start w:val="6"/>
      <w:numFmt w:val="lowerRoman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lowerLetter"/>
      <w:lvlText w:val="%5."/>
      <w:lvlJc w:val="left"/>
      <w:pPr>
        <w:ind w:left="3600" w:hanging="480"/>
      </w:pPr>
    </w:lvl>
    <w:lvl w:ilvl="5">
      <w:start w:val="6"/>
      <w:numFmt w:val="lowerRoman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lowerLetter"/>
      <w:lvlText w:val="%8."/>
      <w:lvlJc w:val="left"/>
      <w:pPr>
        <w:ind w:left="5760" w:hanging="480"/>
      </w:pPr>
    </w:lvl>
    <w:lvl w:ilvl="8">
      <w:start w:val="6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2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val="C0392B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rFonts w:ascii="Arial" w:hAnsi="Arial" w:cs="Arial" w:eastAsia="Arial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color w:val="008000"/>
      <w:rFonts w:ascii="Arial" w:hAnsi="Arial" w:cs="Arial" w:eastAsia="Arial"/>
      <w:b/>
    </w:rPr>
  </w:style>
  <w:style w:type="character" w:customStyle="1" w:styleId="CommentTok">
    <w:name w:val="CommentTok"/>
    <w:basedOn w:val="VerbatimChar"/>
    <w:rPr>
      <w:color w:val="60a0b0"/>
      <w:rFonts w:ascii="Arial" w:hAnsi="Arial" w:cs="Arial" w:eastAsia="Arial"/>
      <w:i/>
    </w:rPr>
  </w:style>
  <w:style w:type="character" w:customStyle="1" w:styleId="DocumentationTok">
    <w:name w:val="DocumentationTok"/>
    <w:basedOn w:val="VerbatimChar"/>
    <w:rPr>
      <w:color w:val="ba2121"/>
      <w:rFonts w:ascii="Arial" w:hAnsi="Arial" w:cs="Arial" w:eastAsia="Arial"/>
      <w:i/>
    </w:rPr>
  </w:style>
  <w:style w:type="character" w:customStyle="1" w:styleId="AnnotationTok">
    <w:name w:val="Annot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CommentVarTok">
    <w:name w:val="CommentVar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Arial" w:hAnsi="Arial" w:cs="Arial" w:eastAsia="Arial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WarningTok">
    <w:name w:val="Warning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AlertTok">
    <w:name w:val="AlertTok"/>
    <w:basedOn w:val="VerbatimChar"/>
    <w:rPr>
      <w:color w:val="ff0000"/>
      <w:rFonts w:ascii="Arial" w:hAnsi="Arial" w:cs="Arial" w:eastAsia="Arial"/>
      <w:b/>
    </w:rPr>
  </w:style>
  <w:style w:type="character" w:customStyle="1" w:styleId="ErrorTok">
    <w:name w:val="ErrorTok"/>
    <w:basedOn w:val="VerbatimChar"/>
    <w:rPr>
      <w:color w:val="ff0000"/>
      <w:rFonts w:ascii="Arial" w:hAnsi="Arial" w:cs="Arial" w:eastAsia="Arial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image" Target="media/rId36.png"/><Relationship Id="rId39" Type="http://schemas.openxmlformats.org/officeDocument/2006/relationships/image" Target="media/rId39.png"/><Relationship Id="rId20" Type="http://schemas.openxmlformats.org/officeDocument/2006/relationships/image" Target="media/rId20.png"/><Relationship Id="rId43" Type="http://schemas.openxmlformats.org/officeDocument/2006/relationships/image" Target="media/rId43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71" Type="http://schemas.openxmlformats.org/officeDocument/2006/relationships/image" Target="media/rId71.png"/><Relationship Id="rId68" Type="http://schemas.openxmlformats.org/officeDocument/2006/relationships/image" Target="media/rId68.png"/><Relationship Id="rId57" Type="http://schemas.openxmlformats.org/officeDocument/2006/relationships/image" Target="media/rId57.png"/><Relationship Id="rId64" Type="http://schemas.openxmlformats.org/officeDocument/2006/relationships/image" Target="media/rId64.png"/><Relationship Id="rId77" Type="http://schemas.openxmlformats.org/officeDocument/2006/relationships/image" Target="media/rId77.png"/><Relationship Id="rId74" Type="http://schemas.openxmlformats.org/officeDocument/2006/relationships/image" Target="media/rId74.png"/><Relationship Id="rId46" Type="http://schemas.openxmlformats.org/officeDocument/2006/relationships/image" Target="media/rId46.png"/><Relationship Id="rId32" Type="http://schemas.openxmlformats.org/officeDocument/2006/relationships/image" Target="media/rId32.png"/><Relationship Id="rId29" Type="http://schemas.openxmlformats.org/officeDocument/2006/relationships/image" Target="media/rId29.png"/><Relationship Id="rId61" Type="http://schemas.openxmlformats.org/officeDocument/2006/relationships/image" Target="media/rId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2026-10-23T05:10:23Z</dcterms:created>
  <dcterms:modified xsi:type="dcterms:W3CDTF">2026-10-23T05:10:23Z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