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db6283c5d7b2842f2bcbbcb6194cb244e2a180d"/>
    <w:p>
      <w:pPr>
        <w:pStyle w:val="Heading1"/>
      </w:pPr>
      <w:r>
        <w:t xml:space="preserve">Вопросы к Беловой — Табельная (этап 3), комплекты КР и АР</w:t>
      </w:r>
    </w:p>
    <w:p>
      <w:pPr>
        <w:pStyle w:val="FirstParagraph"/>
      </w:pPr>
      <w:r>
        <w:t xml:space="preserve">Модели:</w:t>
      </w:r>
      <w:r>
        <w:t xml:space="preserve"> </w:t>
      </w:r>
      <w:r>
        <w:rPr>
          <w:bCs/>
          <w:b/>
        </w:rPr>
        <w:t xml:space="preserve">1439-2025-3_Круглое поле_3_КР_КЖ_Ч1_Здание табельной на ст.Круглое поле.ifc</w:t>
      </w:r>
      <w:r>
        <w:t xml:space="preserve">; модель АР Табельной;</w:t>
      </w:r>
      <w:r>
        <w:t xml:space="preserve"> </w:t>
      </w:r>
      <w:r>
        <w:rPr>
          <w:bCs/>
          <w:b/>
        </w:rPr>
        <w:t xml:space="preserve">1439-2025-3_Круглое поле_3_АР_ПОМ_Ч11_Здание табельной на ст.Круглое поле.ifc</w:t>
      </w:r>
      <w:r>
        <w:t xml:space="preserve">.</w:t>
      </w:r>
      <w:r>
        <w:t xml:space="preserve"> </w:t>
      </w:r>
      <w:r>
        <w:t xml:space="preserve">Исходные данные: ПД КР Табельной (разрез 3-3 приямка), типовой проект 3.006-КР-1-2.6, Паспорт технический «Здания инвентарные стандартного исполнения» (апрель 2026), EIR ОЭЗ «Алабуга» (таблицы А1, А2, цвета).</w:t>
      </w:r>
    </w:p>
    <w:bookmarkStart w:id="41" w:name="комплект-кр"/>
    <w:p>
      <w:pPr>
        <w:pStyle w:val="Heading2"/>
      </w:pPr>
      <w:r>
        <w:t xml:space="preserve">Комплект КР</w:t>
      </w:r>
    </w:p>
    <w:p>
      <w:pPr>
        <w:pStyle w:val="FirstParagraph"/>
      </w:pPr>
      <w:r>
        <w:rPr>
          <w:bCs/>
          <w:b/>
        </w:rPr>
        <w:t xml:space="preserve">Общие сведения.</w:t>
      </w:r>
      <w:r>
        <w:t xml:space="preserve"> </w:t>
      </w:r>
      <w:r>
        <w:t xml:space="preserve">Приямок состоит из трёх элементов: сам приямок, крышка и подготовка. Это сборная конструкция. В свою очередь крышка состоит из проката, опирается на закладную.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Приямок.</w:t>
      </w:r>
      <w:r>
        <w:t xml:space="preserve"> </w:t>
      </w:r>
      <w:r>
        <w:t xml:space="preserve">Приямок в модели разбит на отдельные стены, а по ВОР это один элемент. Из-за этого атрибуты и объёмы не сходятся с ВОР. Требуется смоделировать приямок одним элементом. Объём взять по ВОР или по типовому проекту (страница приложена). Атрибуты назначить по таблице А1.</w:t>
      </w:r>
    </w:p>
    <w:p>
      <w:pPr>
        <w:pStyle w:val="CaptionedFigure"/>
      </w:pPr>
      <w:r>
        <w:drawing>
          <wp:inline>
            <wp:extent cx="5767200" cy="372758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elova/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200" cy="3727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Разрез 3-3 приямка: стены, крышка (щит), бетонная подготовка.</w:t>
      </w:r>
    </w:p>
    <w:p>
      <w:pPr>
        <w:pStyle w:val="CaptionedFigure"/>
      </w:pPr>
      <w:r>
        <w:drawing>
          <wp:inline>
            <wp:extent cx="4176924" cy="60479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elova/1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924" cy="60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Типовой проект 3.006-КР-1-2.6: бетон B12,5 (М150) — 0,76 м³ на ПР-1, 0,88 м³ на ПР-2.</w:t>
      </w:r>
    </w:p>
    <w:p>
      <w:pPr>
        <w:pStyle w:val="CaptionedFigure"/>
      </w:pPr>
      <w:r>
        <w:drawing>
          <wp:inline>
            <wp:extent cx="9612000" cy="562468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elova/1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5624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КР: приямок разбит на «Плиту приямка» и 4 стены «ПР-1 … ПР-1 4».</w:t>
      </w:r>
    </w:p>
    <w:p>
      <w:pPr>
        <w:pStyle w:val="CaptionedFigure"/>
      </w:pPr>
      <w:r>
        <w:drawing>
          <wp:inline>
            <wp:extent cx="8170200" cy="5303333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elova/1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0200" cy="530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EIR, таблица А1 (начало). Для подготовки (столбец «Основание») защитные слои — только при наличии арматуры (+⁴).</w:t>
      </w:r>
    </w:p>
    <w:p>
      <w:pPr>
        <w:pStyle w:val="CaptionedFigure"/>
      </w:pPr>
      <w:r>
        <w:drawing>
          <wp:inline>
            <wp:extent cx="8170200" cy="468424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elova/1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0200" cy="4684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EIR, таблица А1 (окончание): атрибуты для приямка.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Элементы, обозначенные в модели как заземляющие устройства, по документации являются закладными деталями из уголка.</w:t>
      </w:r>
      <w:r>
        <w:t xml:space="preserve"> </w:t>
      </w:r>
      <w:r>
        <w:t xml:space="preserve">Требуется: переименовать элементы в структуре модели и в атрибутах; заполнить атрибуты по таблице А2 (прокат); взять значения атрибутов из ВОР, чертежа или типового проекта. Перед передачей модели требуется сверять элементы с исходной документацией.</w:t>
      </w:r>
    </w:p>
    <w:p>
      <w:pPr>
        <w:pStyle w:val="CaptionedFigure"/>
      </w:pPr>
      <w:r>
        <w:drawing>
          <wp:inline>
            <wp:extent cx="9612000" cy="460757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elova/1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46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КР: элемент «Заземляющее устройство (полоса/уголок/круг) Б-1 4» — IfcBeam, уголок 63×5.</w:t>
      </w:r>
    </w:p>
    <w:p>
      <w:pPr>
        <w:pStyle w:val="BodyText"/>
      </w:pPr>
      <w:r>
        <w:rPr>
          <w:bCs/>
          <w:b/>
        </w:rPr>
        <w:t xml:space="preserve">Дополнительно по скриншоту (проверить в модели):</w:t>
      </w:r>
      <w:r>
        <w:t xml:space="preserve"> </w:t>
      </w:r>
      <w:r>
        <w:t xml:space="preserve">в атрибутах остались «Марка системы: СЦБ» и «Способ монтажа: В грунт» — для закладной не подходят. «Масса 4,81 кг» — это погонная масса уголка 63×5 по ГОСТ 8509-93 (кг/м); если длина уголка не 1 м, масса элемента указана неверно. Имя в дереве («Заземляющее устройство») не совпадает с атрибутом Name («Уголок стальной»).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Бетонная подготовка.</w:t>
      </w:r>
      <w:r>
        <w:t xml:space="preserve"> </w:t>
      </w:r>
      <w:r>
        <w:t xml:space="preserve">В бетонной подготовке не должно быть арматуры, её требуется удалить. Атрибуты элемента требуется заполнить. Марки у бетонной подготовки нет, этот атрибут оставить пустым.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Фундамент табельной никак не является фундаментом переездного светофора.</w:t>
      </w:r>
      <w:r>
        <w:t xml:space="preserve"> </w:t>
      </w:r>
      <w:r>
        <w:t xml:space="preserve">Объёмы вписать согласно ВОР или спецификации. Объёмный расход арматуры добавить в фундамент. Марки давать согласно типовому или проектной документации.</w:t>
      </w:r>
    </w:p>
    <w:p>
      <w:pPr>
        <w:pStyle w:val="CaptionedFigure"/>
      </w:pPr>
      <w:r>
        <w:drawing>
          <wp:inline>
            <wp:extent cx="9612000" cy="4126177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elova/1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4126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КР: плита «Фундамент металлический переездного светофора 12843-00-00А ФМ-1» — панель свойств пустая.</w:t>
      </w:r>
    </w:p>
    <w:p>
      <w:pPr>
        <w:pStyle w:val="BodyText"/>
      </w:pPr>
      <w:r>
        <w:rPr>
          <w:bCs/>
          <w:b/>
        </w:rPr>
        <w:t xml:space="preserve">Дополнительно по скриншоту (проверить в модели):</w:t>
      </w:r>
      <w:r>
        <w:t xml:space="preserve"> </w:t>
      </w:r>
      <w:r>
        <w:t xml:space="preserve">у плиты ФМ-1 не заполнен ни один атрибут (панель свойств пустая).</w:t>
      </w:r>
    </w:p>
    <w:p>
      <w:pPr>
        <w:pStyle w:val="BodyText"/>
      </w:pPr>
      <w:r>
        <w:t xml:space="preserve">Все цвета делать по EIR. Металл рыжий, бетон серый. Уголки, листы и прочее по металлу — рыжим цветом. Номера цветов — в EIR.</w:t>
      </w:r>
    </w:p>
    <w:bookmarkEnd w:id="41"/>
    <w:bookmarkStart w:id="64" w:name="комплект-ар"/>
    <w:p>
      <w:pPr>
        <w:pStyle w:val="Heading2"/>
      </w:pPr>
      <w:r>
        <w:t xml:space="preserve">Комплект АР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Двери входные должны соответствовать по размерам ПД.</w:t>
      </w:r>
      <w:r>
        <w:t xml:space="preserve"> </w:t>
      </w:r>
      <w:r>
        <w:t xml:space="preserve">Привести в соответствие с ПД. Двери межкомнатные должны называться межкомнатными — в модели они представлены как входные металлические. Марки должны соответствовать тому, если они есть (у межкомнатных EI60).</w:t>
      </w:r>
    </w:p>
    <w:p>
      <w:pPr>
        <w:pStyle w:val="CaptionedFigure"/>
      </w:pPr>
      <w:r>
        <w:drawing>
          <wp:inline>
            <wp:extent cx="9612000" cy="348935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elova/1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3489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ПД: входные 960×2050 (6 шт.), межкомнатные 760×2050 (2 шт.) и 860×2050 (9 шт.), EI60. Модель: Д-1 шириной 810.</w:t>
      </w:r>
    </w:p>
    <w:p>
      <w:pPr>
        <w:pStyle w:val="BodyText"/>
      </w:pPr>
      <w:r>
        <w:rPr>
          <w:bCs/>
          <w:b/>
        </w:rPr>
        <w:t xml:space="preserve">Дополнительно по скриншоту (проверить в модели):</w:t>
      </w:r>
      <w:r>
        <w:t xml:space="preserve"> </w:t>
      </w:r>
      <w:r>
        <w:t xml:space="preserve">в дереве все двери названы «Светопрозрачная конструкция / Дверь Д-…», хотя по ПД это глухие стальные двери.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Откорректировать название окон в структуре модели.</w:t>
      </w:r>
      <w:r>
        <w:t xml:space="preserve"> </w:t>
      </w:r>
      <w:r>
        <w:t xml:space="preserve">Почему окна определены как двери? Имя элемента в структуре должно соответствовать значению атрибута Name. Атрибуты окон должны соответствовать ПД (см. скрин).</w:t>
      </w:r>
    </w:p>
    <w:p>
      <w:pPr>
        <w:pStyle w:val="CaptionedFigure"/>
      </w:pPr>
      <w:r>
        <w:drawing>
          <wp:inline>
            <wp:extent cx="3844800" cy="318668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elova/1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800" cy="3186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модели: окна названы «Светопрозрачная конструкция / Дверь ОК-1 …».</w:t>
      </w:r>
    </w:p>
    <w:p>
      <w:pPr>
        <w:pStyle w:val="CaptionedFigure"/>
      </w:pPr>
      <w:r>
        <w:drawing>
          <wp:inline>
            <wp:extent cx="9612000" cy="426312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elova/1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4263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ОК-1: класс IfcWindow, Name «Окно ПВХ двустворчатое».</w:t>
      </w:r>
    </w:p>
    <w:p>
      <w:pPr>
        <w:pStyle w:val="CaptionedFigure"/>
      </w:pPr>
      <w:r>
        <w:drawing>
          <wp:inline>
            <wp:extent cx="9612000" cy="384161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elova/1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3841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ПД: окна ПВХ Grain-Prestige 70 мм, 1200×1200 — 12 шт. (глухая + поворотно-откидная), 1200×500 — 1 шт. (фрамуга серверной).</w:t>
      </w:r>
    </w:p>
    <w:p>
      <w:pPr>
        <w:pStyle w:val="BodyText"/>
      </w:pPr>
      <w:r>
        <w:rPr>
          <w:bCs/>
          <w:b/>
        </w:rPr>
        <w:t xml:space="preserve">Дополнительно по скриншоту (проверить в модели):</w:t>
      </w:r>
      <w:r>
        <w:t xml:space="preserve"> </w:t>
      </w:r>
      <w:r>
        <w:t xml:space="preserve">«Тип створок: Поворотно-откидная» — по ПД одна створка глухая; не указаны стеклопакет СПО 32 мм, рольставни, москитная сетка, жалюзи; фрамуга 1200×500 серверной в показанном дереве не найдена.</w:t>
      </w:r>
    </w:p>
    <w:bookmarkStart w:id="63" w:name="ар-продолжение"/>
    <w:p>
      <w:pPr>
        <w:pStyle w:val="Heading3"/>
      </w:pPr>
      <w:r>
        <w:t xml:space="preserve">АР, продолжение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Откуда в перегородках гипсокартон?</w:t>
      </w:r>
      <w:r>
        <w:t xml:space="preserve"> </w:t>
      </w:r>
      <w:r>
        <w:t xml:space="preserve">Привести в соответствие Material с ПД и другие атрибуты. Внимание уделить значениям атрибутов — взять их именно из перечня в ПД. Смотреть в ВОР.</w:t>
      </w:r>
    </w:p>
    <w:p>
      <w:pPr>
        <w:pStyle w:val="CaptionedFigure"/>
      </w:pPr>
      <w:r>
        <w:drawing>
          <wp:inline>
            <wp:extent cx="9612000" cy="29637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elova/2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296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ПД: перегородки — сэндвич-панель, базальтовая вата 80 мм; наружные стены — 120 мм. Модель: Ст-16 «Сэндвич панель стеновая 105мм», Material «Листы гипсокартонные влагостойкие…».</w:t>
      </w:r>
    </w:p>
    <w:p>
      <w:pPr>
        <w:pStyle w:val="BodyText"/>
      </w:pPr>
      <w:r>
        <w:rPr>
          <w:bCs/>
          <w:b/>
        </w:rPr>
        <w:t xml:space="preserve">Дополнительно по скриншоту (проверить в модели):</w:t>
      </w:r>
      <w:r>
        <w:t xml:space="preserve"> </w:t>
      </w:r>
      <w:r>
        <w:t xml:space="preserve">толщины 105 мм в ПД нет: перегородки ≈80 мм (+ облицовка 2×0,7), наружные стены — 120 мм.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Характеристики по потолку и кровле расписать из указанных в ПД.</w:t>
      </w:r>
      <w:r>
        <w:t xml:space="preserve"> </w:t>
      </w:r>
      <w:r>
        <w:t xml:space="preserve">Марки, плотности, толщины.</w:t>
      </w:r>
    </w:p>
    <w:p>
      <w:pPr>
        <w:pStyle w:val="CaptionedFigure"/>
      </w:pPr>
      <w:r>
        <w:drawing>
          <wp:inline>
            <wp:extent cx="9612000" cy="3259068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elova/2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3259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ПД: кровля — профлист НС-44 0,7 мм, утеплитель Роквул Лайт Баттс Скандик 35 кг/м³, 150 мм (50+50+50), пароизоляция п/э 200 мкм. Модель: К-1.</w:t>
      </w:r>
    </w:p>
    <w:p>
      <w:pPr>
        <w:pStyle w:val="BodyText"/>
      </w:pPr>
      <w:r>
        <w:rPr>
          <w:bCs/>
          <w:b/>
        </w:rPr>
        <w:t xml:space="preserve">Дополнительно по скриншоту (проверить в модели):</w:t>
      </w:r>
      <w:r>
        <w:t xml:space="preserve"> </w:t>
      </w:r>
      <w:r>
        <w:t xml:space="preserve">потолок в модели «Армстронг 32мм», по ПД плита «Армстронг Скала» 12 мм + черновой потолок НС-8 0,7 мм и подвесная система «Албес Евро»; второй «Лист оцинкованный 0.7мм» в кровле, вероятно, относится к черновому потолку; в атрибутах кровли смешаны единицы (мм и м), периметр 48599.999…; марка «П-1» одновременно у подоконника, потолка и подготовки КР.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Оси по этажам не дублировать!!!</w:t>
      </w:r>
      <w:r>
        <w:t xml:space="preserve"> </w:t>
      </w:r>
      <w:r>
        <w:t xml:space="preserve">Эти здания одноэтажные, достаточно осей с одного этажа.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Помещение 9 — что за агузок?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 табельной не увидел файлов с мебелью.</w:t>
      </w:r>
    </w:p>
    <w:p>
      <w:pPr>
        <w:pStyle w:val="CaptionedFigure"/>
      </w:pPr>
      <w:r>
        <w:drawing>
          <wp:inline>
            <wp:extent cx="7689600" cy="5502215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elova/2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600" cy="5502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помещений: оси продублированы, помещение 9 — Г-образная полоса вдоль стен.</w:t>
      </w:r>
    </w:p>
    <w:p>
      <w:pPr>
        <w:pStyle w:val="BodyText"/>
      </w:pPr>
      <w:r>
        <w:rPr>
          <w:bCs/>
          <w:b/>
        </w:rPr>
        <w:t xml:space="preserve">Дополнительно по скриншоту (проверить в модели):</w:t>
      </w:r>
      <w:r>
        <w:t xml:space="preserve"> </w:t>
      </w:r>
      <w:r>
        <w:t xml:space="preserve">структура модели: в ПОМ площадка «Default», здание «Наименование здания»; в АР и КЖ площадка «Площадка», здание названо именем файла, уровень КЖ «Приямок». Требуется: Site «DefaultSite» → Building «DefaultBuilding» → Building Storey («Этаж 01», «Кровля», «Фундамент») → группы элементов.</w:t>
      </w:r>
    </w:p>
    <w:bookmarkEnd w:id="63"/>
    <w:bookmarkEnd w:id="64"/>
    <w:bookmarkStart w:id="65" w:name="дополнительно-оговариваю"/>
    <w:p>
      <w:pPr>
        <w:pStyle w:val="Heading2"/>
      </w:pPr>
      <w:r>
        <w:t xml:space="preserve">Дополнительно оговариваю!!!</w:t>
      </w:r>
    </w:p>
    <w:p>
      <w:pPr>
        <w:pStyle w:val="FirstParagraph"/>
      </w:pPr>
      <w:r>
        <w:t xml:space="preserve">Все цвета делать по EIR. Металл рыжий, бетон серый. За этим внимательно слежу. Уголки, листы и прочее по металлу — рыжим цветом. Номера цветов — в EIR.</w:t>
      </w:r>
    </w:p>
    <w:bookmarkEnd w:id="65"/>
    <w:bookmarkEnd w:id="66"/>
    <w:sectPr>
      <w:pgSz w:orient="landscape" w:w="16838" w:h="11906"/>
      <w:pgMar w:left="850" w:right="850" w:top="737" w:bottom="7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202">
    <w:nsid w:val="A9920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Roman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Roman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Roman"/>
      <w:lvlText w:val="%9."/>
      <w:lvlJc w:val="left"/>
      <w:pPr>
        <w:ind w:left="6480" w:hanging="480"/>
      </w:pPr>
    </w:lvl>
  </w:abstractNum>
  <w:abstractNum w:abstractNumId="99203">
    <w:nsid w:val="A9920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lowerLetter"/>
      <w:lvlText w:val="%2."/>
      <w:lvlJc w:val="left"/>
      <w:pPr>
        <w:ind w:left="1440" w:hanging="480"/>
      </w:pPr>
    </w:lvl>
    <w:lvl w:ilvl="2">
      <w:start w:val="3"/>
      <w:numFmt w:val="lowerRoman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lowerLetter"/>
      <w:lvlText w:val="%5."/>
      <w:lvlJc w:val="left"/>
      <w:pPr>
        <w:ind w:left="3600" w:hanging="480"/>
      </w:pPr>
    </w:lvl>
    <w:lvl w:ilvl="5">
      <w:start w:val="3"/>
      <w:numFmt w:val="lowerRoman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lowerLetter"/>
      <w:lvlText w:val="%8."/>
      <w:lvlJc w:val="left"/>
      <w:pPr>
        <w:ind w:left="5760" w:hanging="480"/>
      </w:pPr>
    </w:lvl>
    <w:lvl w:ilvl="8">
      <w:start w:val="3"/>
      <w:numFmt w:val="lowerRoman"/>
      <w:lvlText w:val="%9."/>
      <w:lvlJc w:val="left"/>
      <w:pPr>
        <w:ind w:left="6480" w:hanging="480"/>
      </w:pPr>
    </w:lvl>
  </w:abstractNum>
  <w:abstractNum w:abstractNumId="99205">
    <w:nsid w:val="A9920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lowerLetter"/>
      <w:lvlText w:val="%2."/>
      <w:lvlJc w:val="left"/>
      <w:pPr>
        <w:ind w:left="1440" w:hanging="480"/>
      </w:pPr>
    </w:lvl>
    <w:lvl w:ilvl="2">
      <w:start w:val="5"/>
      <w:numFmt w:val="lowerRoman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lowerLetter"/>
      <w:lvlText w:val="%5."/>
      <w:lvlJc w:val="left"/>
      <w:pPr>
        <w:ind w:left="3600" w:hanging="480"/>
      </w:pPr>
    </w:lvl>
    <w:lvl w:ilvl="5">
      <w:start w:val="5"/>
      <w:numFmt w:val="lowerRoman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lowerLetter"/>
      <w:lvlText w:val="%8."/>
      <w:lvlJc w:val="left"/>
      <w:pPr>
        <w:ind w:left="5760" w:hanging="480"/>
      </w:pPr>
    </w:lvl>
    <w:lvl w:ilvl="8">
      <w:start w:val="5"/>
      <w:numFmt w:val="lowerRoman"/>
      <w:lvlText w:val="%9."/>
      <w:lvlJc w:val="left"/>
      <w:pPr>
        <w:ind w:left="6480" w:hanging="480"/>
      </w:pPr>
    </w:lvl>
  </w:abstractNum>
  <w:abstractNum w:abstractNumId="99206">
    <w:nsid w:val="A9920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lowerLetter"/>
      <w:lvlText w:val="%2."/>
      <w:lvlJc w:val="left"/>
      <w:pPr>
        <w:ind w:left="1440" w:hanging="480"/>
      </w:pPr>
    </w:lvl>
    <w:lvl w:ilvl="2">
      <w:start w:val="6"/>
      <w:numFmt w:val="lowerRoman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lowerLetter"/>
      <w:lvlText w:val="%5."/>
      <w:lvlJc w:val="left"/>
      <w:pPr>
        <w:ind w:left="3600" w:hanging="480"/>
      </w:pPr>
    </w:lvl>
    <w:lvl w:ilvl="5">
      <w:start w:val="6"/>
      <w:numFmt w:val="lowerRoman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lowerLetter"/>
      <w:lvlText w:val="%8."/>
      <w:lvlJc w:val="left"/>
      <w:pPr>
        <w:ind w:left="5760" w:hanging="480"/>
      </w:pPr>
    </w:lvl>
    <w:lvl w:ilvl="8">
      <w:start w:val="6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2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2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20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2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 w:cs="Arial" w:eastAsia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cs="Arial" w:eastAsia="Arial"/>
      <w:b/>
      <w:bCs/>
      <w:color w:val="C0392B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rPr>
      <w:rFonts w:ascii="Arial" w:hAnsi="Arial" w:cs="Arial" w:eastAsia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Arial" w:hAnsi="Arial" w:cs="Arial" w:eastAsia="Arial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color w:val="007020"/>
      <w:rFonts w:ascii="Arial" w:hAnsi="Arial" w:cs="Arial" w:eastAsia="Arial"/>
      <w:b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color w:val="008000"/>
      <w:rFonts w:ascii="Arial" w:hAnsi="Arial" w:cs="Arial" w:eastAsia="Arial"/>
      <w:b/>
    </w:rPr>
  </w:style>
  <w:style w:type="character" w:customStyle="1" w:styleId="CommentTok">
    <w:name w:val="CommentTok"/>
    <w:basedOn w:val="VerbatimChar"/>
    <w:rPr>
      <w:color w:val="60a0b0"/>
      <w:rFonts w:ascii="Arial" w:hAnsi="Arial" w:cs="Arial" w:eastAsia="Arial"/>
      <w:i/>
    </w:rPr>
  </w:style>
  <w:style w:type="character" w:customStyle="1" w:styleId="DocumentationTok">
    <w:name w:val="DocumentationTok"/>
    <w:basedOn w:val="VerbatimChar"/>
    <w:rPr>
      <w:color w:val="ba2121"/>
      <w:rFonts w:ascii="Arial" w:hAnsi="Arial" w:cs="Arial" w:eastAsia="Arial"/>
      <w:i/>
    </w:rPr>
  </w:style>
  <w:style w:type="character" w:customStyle="1" w:styleId="AnnotationTok">
    <w:name w:val="Annot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CommentVarTok">
    <w:name w:val="CommentVar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Arial" w:hAnsi="Arial" w:cs="Arial" w:eastAsia="Arial"/>
      <w:b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WarningTok">
    <w:name w:val="Warning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AlertTok">
    <w:name w:val="AlertTok"/>
    <w:basedOn w:val="VerbatimChar"/>
    <w:rPr>
      <w:color w:val="ff0000"/>
      <w:rFonts w:ascii="Arial" w:hAnsi="Arial" w:cs="Arial" w:eastAsia="Arial"/>
      <w:b/>
    </w:rPr>
  </w:style>
  <w:style w:type="character" w:customStyle="1" w:styleId="ErrorTok">
    <w:name w:val="ErrorTok"/>
    <w:basedOn w:val="VerbatimChar"/>
    <w:rPr>
      <w:color w:val="ff0000"/>
      <w:rFonts w:ascii="Arial" w:hAnsi="Arial" w:cs="Arial" w:eastAsia="Arial"/>
      <w:b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6" Type="http://schemas.openxmlformats.org/officeDocument/2006/relationships/image" Target="media/rId26.png"/><Relationship Id="rId32" Type="http://schemas.openxmlformats.org/officeDocument/2006/relationships/image" Target="media/rId32.png"/><Relationship Id="rId35" Type="http://schemas.openxmlformats.org/officeDocument/2006/relationships/image" Target="media/rId35.png"/><Relationship Id="rId29" Type="http://schemas.openxmlformats.org/officeDocument/2006/relationships/image" Target="media/rId29.png"/><Relationship Id="rId38" Type="http://schemas.openxmlformats.org/officeDocument/2006/relationships/image" Target="media/rId38.png"/><Relationship Id="rId42" Type="http://schemas.openxmlformats.org/officeDocument/2006/relationships/image" Target="media/rId42.png"/><Relationship Id="rId45" Type="http://schemas.openxmlformats.org/officeDocument/2006/relationships/image" Target="media/rId45.png"/><Relationship Id="rId48" Type="http://schemas.openxmlformats.org/officeDocument/2006/relationships/image" Target="media/rId48.png"/><Relationship Id="rId51" Type="http://schemas.openxmlformats.org/officeDocument/2006/relationships/image" Target="media/rId51.png"/><Relationship Id="rId54" Type="http://schemas.openxmlformats.org/officeDocument/2006/relationships/image" Target="media/rId54.png"/><Relationship Id="rId57" Type="http://schemas.openxmlformats.org/officeDocument/2006/relationships/image" Target="media/rId57.png"/><Relationship Id="rId60" Type="http://schemas.openxmlformats.org/officeDocument/2006/relationships/image" Target="media/rId60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2026-10-23T05:55:42Z</dcterms:created>
  <dcterms:modified xsi:type="dcterms:W3CDTF">2026-10-23T05:55:42Z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