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1ffbe4b01f867bbb43bbe50a61a26eea65d436"/>
    <w:p>
      <w:pPr>
        <w:pStyle w:val="Heading1"/>
      </w:pPr>
      <w:r>
        <w:t xml:space="preserve">Вопросы к Беловой — этап 4, комплекты АР и КР (90 моделей IFC)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Cs/>
          <w:b/>
        </w:rPr>
        <w:t xml:space="preserve">ЖД станция / Работа над ошибками / Белова / 4 этап</w:t>
      </w:r>
      <w:r>
        <w:t xml:space="preserve">. Модели сверены с ПД</w:t>
      </w:r>
      <w:r>
        <w:t xml:space="preserve"> </w:t>
      </w:r>
      <w:r>
        <w:rPr>
          <w:bCs/>
          <w:b/>
        </w:rPr>
        <w:t xml:space="preserve">Раздел ПД №4 Подраздел №1 Часть №2 ИЛО1.2 (Парк_АР)</w:t>
      </w:r>
      <w:r>
        <w:t xml:space="preserve">,</w:t>
      </w:r>
      <w:r>
        <w:t xml:space="preserve"> </w:t>
      </w:r>
      <w:r>
        <w:rPr>
          <w:bCs/>
          <w:b/>
        </w:rPr>
        <w:t xml:space="preserve">Часть №3 ИЛО1.3 (Парк_КР)</w:t>
      </w:r>
      <w:r>
        <w:t xml:space="preserve">,</w:t>
      </w:r>
      <w:r>
        <w:t xml:space="preserve"> </w:t>
      </w:r>
      <w:r>
        <w:rPr>
          <w:bCs/>
          <w:b/>
        </w:rPr>
        <w:t xml:space="preserve">Подраздел №2 Часть №2 ИЛО2.2 (СП_АР)</w:t>
      </w:r>
      <w:r>
        <w:t xml:space="preserve">,</w:t>
      </w:r>
      <w:r>
        <w:t xml:space="preserve"> </w:t>
      </w:r>
      <w:r>
        <w:rPr>
          <w:bCs/>
          <w:b/>
        </w:rPr>
        <w:t xml:space="preserve">Часть №3 ИЛО2.3 (СП_КР)</w:t>
      </w:r>
      <w:r>
        <w:t xml:space="preserve"> </w:t>
      </w:r>
      <w:r>
        <w:t xml:space="preserve">и с EIR (Приложение №1). Посадка зданий и ограждения дополнительно проверена по моделям ПЗУ (Пятница).</w:t>
      </w:r>
      <w:r>
        <w:t xml:space="preserve"> </w:t>
      </w:r>
      <w:r>
        <w:t xml:space="preserve">Проверено: геометрия и размеры, отметки 0.000 и посадка, обязательные атрибуты, Шифр проекта, классы и имена элементов, структура, цвета.</w:t>
      </w:r>
    </w:p>
    <w:p>
      <w:pPr>
        <w:pStyle w:val="BodyText"/>
      </w:pPr>
      <w:r>
        <w:rPr>
          <w:bCs/>
          <w:b/>
        </w:rPr>
        <w:t xml:space="preserve">Что в порядке:</w:t>
      </w:r>
      <w:r>
        <w:t xml:space="preserve"> </w:t>
      </w:r>
      <w:r>
        <w:t xml:space="preserve">отметки 0.000 зданий Парка и СП соответствуют ПД; габариты модулей (кроме МК АТС) и фундаментных плит соответствуют ПД; здания стоят на плитах с выпуском 0,2 м по контуру.</w:t>
      </w:r>
    </w:p>
    <w:bookmarkStart w:id="29" w:name="ограждение-территории-км-ч1ч3"/>
    <w:p>
      <w:pPr>
        <w:pStyle w:val="Heading2"/>
      </w:pPr>
      <w:r>
        <w:t xml:space="preserve">1. Ограждение территории (КМ Ч1–Ч3)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Ограждение посажено ниже земли.</w:t>
      </w:r>
      <w:r>
        <w:t xml:space="preserve"> </w:t>
      </w:r>
      <w:r>
        <w:t xml:space="preserve">В модели «…КМ_Ч1_Ограждение территории 1-4» все стойки поставлены на одну отметку: верх фундаментов 163,40, тогда как поверхность площадки (ПЗУ Ч7, 0.000 зданий 164,92) ≈ 164,80. Ограждение утоплено на ~1,4 м: сетка над землёй ~1,2 м вместо 2,1 м по ПД. В КМ_Ч3 (9-12) ограждение ниже поверхности ПЗУ Ч5 на ~0,25 м, в КМ_Ч2 (5-8) стоит горизонтально при перепаде рельефа 0,85 м. Стойки сажать по рельефу: 2,1 м над землёй, фундамент на глубину 1,8 м от земли.</w:t>
      </w:r>
    </w:p>
    <w:p>
      <w:pPr>
        <w:pStyle w:val="Figure"/>
      </w:pPr>
      <w:r>
        <w:drawing>
          <wp:inline>
            <wp:extent cx="9612000" cy="548283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1_ограждение_утоплено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54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Раскладка панелей не по ПД.</w:t>
      </w:r>
      <w:r>
        <w:t xml:space="preserve"> </w:t>
      </w:r>
      <w:r>
        <w:t xml:space="preserve">В модели шаг стоек 2,0 м (52 стойки / фундамента в Ч1). По ПД ограждение собирается из панелей</w:t>
      </w:r>
      <w:r>
        <w:t xml:space="preserve"> </w:t>
      </w:r>
      <w:r>
        <w:rPr>
          <w:bCs/>
          <w:b/>
        </w:rPr>
        <w:t xml:space="preserve">3,0 и 2,5 м</w:t>
      </w:r>
      <w:r>
        <w:t xml:space="preserve"> </w:t>
      </w:r>
      <w:r>
        <w:t xml:space="preserve">(схема участков на листе ГЧ.07: участок 1 — 2,5+1,5(калитка)+8×3,0+2,5+1,5(калитка)+4×3,0+2,5 и т.д.), т.е. 37 стоек на участках 1–4. Пересобрать по схеме участков ПД.</w:t>
      </w:r>
    </w:p>
    <w:p>
      <w:pPr>
        <w:pStyle w:val="Figure"/>
      </w:pPr>
      <w:r>
        <w:drawing>
          <wp:inline>
            <wp:extent cx="5721536" cy="6047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2_ограждение_шаг_стоек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36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Фундаменты стоек.</w:t>
      </w:r>
      <w:r>
        <w:t xml:space="preserve"> </w:t>
      </w:r>
      <w:r>
        <w:t xml:space="preserve">Фундамент назван «Фундамент металлический переездного светофора 12843-00-00А ФМ1» — это бетонный фундамент стойки ограждения (B15 F150 W6). Под стойки калитки по ПД фундамент</w:t>
      </w:r>
      <w:r>
        <w:t xml:space="preserve"> </w:t>
      </w:r>
      <w:r>
        <w:rPr>
          <w:bCs/>
          <w:b/>
        </w:rPr>
        <w:t xml:space="preserve">Ø350</w:t>
      </w:r>
      <w:r>
        <w:t xml:space="preserve">, в модели все Ø250. Щебёночная подготовка в модели 200 мм, по ПД 100 мм (п.5 ГЧ.07, ТЧ п.7.6). Не смоделирована гидроизоляция (2 слоя гидроизола) — указать атрибутом.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Шифр проекта</w:t>
      </w:r>
      <w:r>
        <w:t xml:space="preserve"> </w:t>
      </w:r>
      <w:r>
        <w:t xml:space="preserve">у профилей калитки (Б-1, Ст-1, Ст-2, 20 эл. в каждой модели) — «4.1.2. 1439-2025-3-ИЛО1.3» (3 этап, Парк). Должно быть «4.2.3. 1439-2025-4-ИЛО2.3».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Классы.</w:t>
      </w:r>
      <w:r>
        <w:t xml:space="preserve"> </w:t>
      </w:r>
      <w:r>
        <w:t xml:space="preserve">Панели ограждения — IfcBuildingElementProxy, фундаменты стоек — IfcSlab (это IfcFooting).</w:t>
      </w:r>
    </w:p>
    <w:p>
      <w:pPr>
        <w:pStyle w:val="Figure"/>
      </w:pPr>
      <w:r>
        <w:drawing>
          <wp:inline>
            <wp:extent cx="9612000" cy="338150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3_ограждение_фундаменты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38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937dc8a08ce42599ec958c83a54758d8a11275d"/>
    <w:p>
      <w:pPr>
        <w:pStyle w:val="Heading2"/>
      </w:pPr>
      <w:r>
        <w:t xml:space="preserve">2. Имя элементов «Фундамент металлический переездного светофора»</w:t>
      </w:r>
    </w:p>
    <w:p>
      <w:pPr>
        <w:pStyle w:val="FirstParagraph"/>
      </w:pPr>
      <w:r>
        <w:t xml:space="preserve">То же замечание, что по Табельной: фундаменты зданий никак не являются фундаментом переездного светофора. Имя семейства «Фундамент металлический переездного светофора 12843-00-00А …» (IFC Name) стоит у плит, ФБС и фундаментов стоек</w:t>
      </w:r>
      <w:r>
        <w:t xml:space="preserve"> </w:t>
      </w:r>
      <w:r>
        <w:rPr>
          <w:bCs/>
          <w:b/>
        </w:rPr>
        <w:t xml:space="preserve">во всех 26 моделях КР</w:t>
      </w:r>
      <w:r>
        <w:t xml:space="preserve"> </w:t>
      </w:r>
      <w:r>
        <w:t xml:space="preserve">4 этапа. В атрибуте EIR «Name» значения верные («Плита бетонная фундаментная 300мм», «Блок фундаментный железобетонный», «Фундамент стойки бетонный») — имя элемента привести к ним. Плиты экспортированы классом IfcSlab — фундаментные плиты и ФБС выгружать как IfcFooting. Атрибуты «Длина» и «Ширина» у плит не заполнены (EIR табл. А1).</w:t>
      </w:r>
    </w:p>
    <w:p>
      <w:pPr>
        <w:pStyle w:val="BodyText"/>
      </w:pPr>
      <w:r>
        <w:t xml:space="preserve">Модели: 1439-2025-4_Круглое поле_4_КР_КЖ0_Ч10_Фундамент под емкость для туалета_1; 1439-2025-4_Круглое поле_4_КР_КЖ0_Ч11_Фундамент под емкость для туалета_2; 1439-2025-4_Круглое поле_4_КР_КЖ0_Ч12_Фундамент под емкость для туалета_3; 1439-2025-4_Круглое поле_4_КР_КЖ0_Ч13_Фундамент Фм-1 под модульную компрессорную_1; 1439-2025-4_Круглое поле_4_КР_КЖ0_Ч14_Фундамент Фм-1 под модульную компрессорную_2; 1439-2025-4_Круглое поле_4_КР_КЖ0_Ч15_Фундамент Фм-2 под модульную компрессорную; 1439-2025-4_Круглое поле_4_КР_КЖ0_Ч1_Фундамент под туалетный модуль_1; 1439-2025-4_Круглое поле_4_КР_КЖ0_Ч2_Фундамент под туалетный модуль_2; 1439-2025-4_Круглое поле_4_КР_КЖ0_Ч3_Фундамент под ДГА (генератор); 1439-2025-4_Круглое поле_4_КР_КЖ0_Ч3_Фундамент под модуль КТСМ; 1439-2025-4_Круглое поле_4_КР_КЖ0_Ч3_Фундамент под модульную компрессорную_1; 1439-2025-4_Круглое поле_4_КР_КЖ0_Ч4_Фундамент под модульную компрессорную_2; 1439-2025-4_Круглое поле_4_КР_КЖ0_Ч5_Фундамент БКТП 250 кВА_1; 1439-2025-4_Круглое поле_4_КР_КЖ0_Ч6_Фундамент БКТП 250 кВА_2; 1439-2025-4_Круглое поле_4_КР_КЖ0_Ч7_Фундамент под модуль АСДТ-5_1; 1439-2025-4_Круглое поле_4_КР_КЖ0_Ч8_Фундамент под модуль АСДТ-5_2; 1439-2025-4_Круглое поле_4_КР_КЖ0_Ч9_Фундамент под здание МК АТС; 1439-2025-4_Круглое поле_4_КР_КЖ_Ч1_Фундамент под модульный пункт обогрева_1; 1439-2025-4_Круглое поле_4_КР_КЖ_Ч2_Фундамент под бытовой модуль; 1439-2025-4_Круглое поле_4_КР_КЖ_Ч3_Фундамент под кладовую; 1439-2025-4_Круглое поле_4_КР_КЖ_Ч4_Фундамент под модульный пункт обогрева_2; 1439-2025-4_Круглое поле_4_КР_КЖ_Ч5_Фундамент под модульный пункт обогрева_3; 1439-2025-4_Круглое поле_4_КР_КЖ_Ч6_Фундамент под модульный пункт обогрева_4; 1439-2025-4_Круглое поле_4_КР_КМ_Ч1_Ограждение территории 1-4; 1439-2025-4_Круглое поле_4_КР_КМ_Ч2_Ограждение территории 5-8; 1439-2025-4_Круглое поле_4_КР_КМ_Ч3_Ограждение территории 9-12.</w:t>
      </w:r>
    </w:p>
    <w:p>
      <w:pPr>
        <w:pStyle w:val="Figure"/>
      </w:pPr>
      <w:r>
        <w:drawing>
          <wp:inline>
            <wp:extent cx="9612000" cy="312198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4_имя_светофора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12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комплект-кр"/>
    <w:p>
      <w:pPr>
        <w:pStyle w:val="Heading2"/>
      </w:pPr>
      <w:r>
        <w:t xml:space="preserve">3. Комплект КР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Приямок</w:t>
      </w:r>
      <w:r>
        <w:t xml:space="preserve"> </w:t>
      </w:r>
      <w:r>
        <w:t xml:space="preserve">(КЖ_Ч1 пункт обогрева_1, КЖ_Ч2 бытовой модуль, КЖ_Ч3 кладовая) разбит на плиту + 4 стены + щит — как в Табельной. По ПД приямок ПР-1 по серии 3.006-КР1 — один элемент. Элементы «Заземляющее устройство (полоса/уголок/круг)» — по чертежу закладные детали обрамления из уголка; переименовать. Опечатки: «Щит перекрытия</w:t>
      </w:r>
      <w:r>
        <w:t xml:space="preserve"> </w:t>
      </w:r>
      <w:r>
        <w:rPr>
          <w:bCs/>
          <w:b/>
        </w:rPr>
        <w:t xml:space="preserve">прямка</w:t>
      </w:r>
      <w:r>
        <w:t xml:space="preserve">», «Подготовка</w:t>
      </w:r>
      <w:r>
        <w:t xml:space="preserve"> </w:t>
      </w:r>
      <w:r>
        <w:rPr>
          <w:bCs/>
          <w:b/>
        </w:rPr>
        <w:t xml:space="preserve">псечаная</w:t>
      </w:r>
      <w:r>
        <w:t xml:space="preserve">».</w:t>
      </w:r>
    </w:p>
    <w:p>
      <w:pPr>
        <w:pStyle w:val="Figure"/>
      </w:pPr>
      <w:r>
        <w:drawing>
          <wp:inline>
            <wp:extent cx="9612000" cy="449099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5_приямок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49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Туалетные модули СП (Ч13–Ч15).</w:t>
      </w:r>
      <w:r>
        <w:t xml:space="preserve"> </w:t>
      </w:r>
      <w:r>
        <w:t xml:space="preserve">Модуль по ПД ставится на плиту</w:t>
      </w:r>
      <w:r>
        <w:t xml:space="preserve"> </w:t>
      </w:r>
      <w:r>
        <w:rPr>
          <w:bCs/>
          <w:b/>
        </w:rPr>
        <w:t xml:space="preserve">ПТО 150.240.14-6</w:t>
      </w:r>
      <w:r>
        <w:t xml:space="preserve"> </w:t>
      </w:r>
      <w:r>
        <w:t xml:space="preserve">(серия 3.006.1-8 вып.2-1) по щебёночной подготовке 100 мм — плиты и щебня в моделях нет. Пол модуля в АР стоит на +0,122 (189,50 при 0.000 = 189,38 — отметка чистого пола по ПД): перекрытие 122 мм положено над нулём.</w:t>
      </w:r>
    </w:p>
    <w:p>
      <w:pPr>
        <w:pStyle w:val="Figure"/>
      </w:pPr>
      <w:r>
        <w:drawing>
          <wp:inline>
            <wp:extent cx="9612000" cy="458999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6_туалет_СП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58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Структура и нумерация КЖ/КЖ0.</w:t>
      </w:r>
      <w:r>
        <w:t xml:space="preserve"> </w:t>
      </w:r>
      <w:r>
        <w:t xml:space="preserve">Три разные модели имеют номер</w:t>
      </w:r>
      <w:r>
        <w:t xml:space="preserve"> </w:t>
      </w:r>
      <w:r>
        <w:rPr>
          <w:bCs/>
          <w:b/>
        </w:rPr>
        <w:t xml:space="preserve">КЖ0_Ч3</w:t>
      </w:r>
      <w:r>
        <w:t xml:space="preserve"> </w:t>
      </w:r>
      <w:r>
        <w:t xml:space="preserve">(«Фундамент под ДГА (генератор)», «Фундамент под модуль КТСМ», «Фундамент под модульную компрессорную_1»). Фундаменты пункта обогрева, бытового модуля и кладовой лежат в</w:t>
      </w:r>
      <w:r>
        <w:t xml:space="preserve"> </w:t>
      </w:r>
      <w:r>
        <w:rPr>
          <w:bCs/>
          <w:b/>
        </w:rPr>
        <w:t xml:space="preserve">КЖ</w:t>
      </w:r>
      <w:r>
        <w:t xml:space="preserve"> </w:t>
      </w:r>
      <w:r>
        <w:t xml:space="preserve">(Ч1–Ч6), остальные — в КЖ0; привести к одной схеме. Фундамент КТСМ относится к СП (ИЛО2.3), а нумерован среди Парка.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Отмостка</w:t>
      </w:r>
      <w:r>
        <w:t xml:space="preserve"> </w:t>
      </w:r>
      <w:r>
        <w:t xml:space="preserve">1,0 м (B25 F200 W6, сетка 4Вр1, ПД ИЛО1.3 / ИЛО2.3) не смоделирована ни в КР, ни в ПЗУ. На разрезах КР указано «Отмостку см. ПЗУ» — согласовать с Пятницей, кто моделирует.</w:t>
      </w:r>
    </w:p>
    <w:bookmarkEnd w:id="40"/>
    <w:bookmarkStart w:id="47" w:name="комплект-ар"/>
    <w:p>
      <w:pPr>
        <w:pStyle w:val="Heading2"/>
      </w:pPr>
      <w:r>
        <w:t xml:space="preserve">4. Комплект АР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МК АТС</w:t>
      </w:r>
      <w:r>
        <w:t xml:space="preserve"> </w:t>
      </w:r>
      <w:r>
        <w:t xml:space="preserve">(АР_Ч12): ширина модуля в модели</w:t>
      </w:r>
      <w:r>
        <w:t xml:space="preserve"> </w:t>
      </w:r>
      <w:r>
        <w:rPr>
          <w:bCs/>
          <w:b/>
        </w:rPr>
        <w:t xml:space="preserve">6,60 м</w:t>
      </w:r>
      <w:r>
        <w:t xml:space="preserve">, по ПД</w:t>
      </w:r>
      <w:r>
        <w:t xml:space="preserve"> </w:t>
      </w:r>
      <w:r>
        <w:rPr>
          <w:bCs/>
          <w:b/>
        </w:rPr>
        <w:t xml:space="preserve">6,30 м</w:t>
      </w:r>
      <w:r>
        <w:t xml:space="preserve"> </w:t>
      </w:r>
      <w:r>
        <w:t xml:space="preserve">(лист ГЧ.14, фасад в осях А-Б); длина 23,10 м — верно. Плита КЖ0_Ч9 по ширине выступает за модуль только на 0,1 м с одной стороны.</w:t>
      </w:r>
    </w:p>
    <w:p>
      <w:pPr>
        <w:pStyle w:val="Figure"/>
      </w:pPr>
      <w:r>
        <w:drawing>
          <wp:inline>
            <wp:extent cx="9612000" cy="41902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7_МК_АТС_ширина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19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БКТП</w:t>
      </w:r>
      <w:r>
        <w:t xml:space="preserve"> </w:t>
      </w:r>
      <w:r>
        <w:t xml:space="preserve">(АР_Ч6, Ч7): решётки (4 шт.) выгружены классом IfcAirTerminal без «Шифр проекта», «Material», «Уровень». У 4 элементов Шифр «3.2.6. 1439-2025-3-ТКР2.6» — чужой проект. В КЖ0_Ч5, Ч6 «Блок БКТП» (×2) и «Выравнивающий слой песка 50мм» без Шифра; блок БКТП — IfcBuildingElementProxy.</w:t>
      </w:r>
    </w:p>
    <w:p>
      <w:pPr>
        <w:pStyle w:val="Figure"/>
      </w:pPr>
      <w:r>
        <w:drawing>
          <wp:inline>
            <wp:extent cx="9612000" cy="312736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9_БКТП_решетки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12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Классы и имена.</w:t>
      </w:r>
      <w:r>
        <w:t xml:space="preserve"> </w:t>
      </w:r>
      <w:r>
        <w:t xml:space="preserve">Отливы и подоконники выгружены как IfcWindow (и без Шифра проекта); септик — IfcBuildingElementProxy в модели АР туалета. Стены туалетов: имя «Сэндвич-панель стеновая</w:t>
      </w:r>
      <w:r>
        <w:t xml:space="preserve"> </w:t>
      </w:r>
      <w:r>
        <w:rPr>
          <w:bCs/>
          <w:b/>
        </w:rPr>
        <w:t xml:space="preserve">82мм</w:t>
      </w:r>
      <w:r>
        <w:t xml:space="preserve">», в атрибуте «Толщина» — 120 мм; привести в соответствие с ПД.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Потолок подвесной Армстронг</w:t>
      </w:r>
      <w:r>
        <w:t xml:space="preserve"> </w:t>
      </w:r>
      <w:r>
        <w:t xml:space="preserve">— пустой «Material» (туалеты Ч1, Ч13–15, пункты обогрева Ч5, Ч19–21). Бытовой модуль: у кровли пустой «Уровень».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Помещения (ПОМ).</w:t>
      </w:r>
      <w:r>
        <w:t xml:space="preserve"> </w:t>
      </w:r>
      <w:r>
        <w:t xml:space="preserve">Нет моделей помещений для АСДТ-5 (×2), МК АТС, БКТП (×2). Во всех ПОМ у IfcSpace вместо «Name» заведено «Имя», «Material» отсутствует; в ПОМ_Ч49 Кладовая нет Шифра проекта. Моделей мебели и оборудования (АИ) нет — оговаривалось по Табельной.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Оси (ОС Ч22–Ч42) и ПОМ:</w:t>
      </w:r>
      <w:r>
        <w:t xml:space="preserve"> </w:t>
      </w:r>
      <w:r>
        <w:t xml:space="preserve">сетка осей «Default Grid» продублирована на уровнях «Этаж 01» и «Кровля» — оси по этажам не дублировать. Площадка «Default» → «DefaultSite», здание «Наименование здания» → «DefaultBuilding» (см. п. 7).</w:t>
      </w:r>
    </w:p>
    <w:bookmarkEnd w:id="47"/>
    <w:bookmarkStart w:id="51" w:name="цвета-по-eir-таблица-9"/>
    <w:p>
      <w:pPr>
        <w:pStyle w:val="Heading2"/>
      </w:pPr>
      <w:r>
        <w:t xml:space="preserve">5. Цвета — по EIR (Таблица 9)</w:t>
      </w:r>
    </w:p>
    <w:p>
      <w:pPr>
        <w:pStyle w:val="FirstParagraph"/>
      </w:pPr>
      <w:r>
        <w:t xml:space="preserve">Бетон серый 160,160,160: у плит, подготовок, лежней, ФБС и фундаментов стоек сейчас 186,191,197 (ФБС КТСМ — 102,102,102). Металл рыжий 229,148,119: ограждение сейчас зелёное 17,66,50, профили калитки и «заземляющие устройства» — серые/белые (178,178,178; 247,247,247).</w:t>
      </w:r>
    </w:p>
    <w:p>
      <w:pPr>
        <w:pStyle w:val="Figure"/>
      </w:pPr>
      <w:r>
        <w:drawing>
          <wp:inline>
            <wp:extent cx="7689600" cy="5731314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08_цвета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600" cy="573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шифр-проекта"/>
    <w:p>
      <w:pPr>
        <w:pStyle w:val="Heading2"/>
      </w:pPr>
      <w:r>
        <w:t xml:space="preserve">6. Шифр проекта</w:t>
      </w:r>
    </w:p>
    <w:p>
      <w:pPr>
        <w:pStyle w:val="FirstParagraph"/>
      </w:pPr>
      <w:r>
        <w:t xml:space="preserve">Шифр должен соответствовать тому ПД: Парк — «4.1.2. 1439-2025-4-ИЛО1.2» (АР) / «4.1.3. 1439-2025-4-ИЛО1.3» (КР); Стрелочные переводы (СП) — «4.2.2. 1439-2025-4-ИЛО2.2» (АР) / «4.2.3. 1439-2025-4-ИЛО2.3» (КР). Сейчас в моделях СП стоит префикс Парка 4.1, в части моделей — 3 этап и чужие тома: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Файл модели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Значение «Шифр проекта» в модели (неверное)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Должно быть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поле_4_АР_АР_Ч13_Туалетный модуль_3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1439-2025-4-ИЛО2.2</w:t>
            </w:r>
            <w:r>
              <w:t xml:space="preserve"> </w:t>
            </w:r>
            <w:r>
              <w:t xml:space="preserve">— 9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поле_4_АР_АР_Ч14_Туалетный модуль_4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1439-2025-4-ИЛО2.2</w:t>
            </w:r>
            <w:r>
              <w:t xml:space="preserve"> </w:t>
            </w:r>
            <w:r>
              <w:t xml:space="preserve">— 9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поле_4_АР_АР_Ч15_Туалетный модуль_5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1439-2025-4-ИЛО2.2</w:t>
            </w:r>
            <w:r>
              <w:t xml:space="preserve"> </w:t>
            </w:r>
            <w:r>
              <w:t xml:space="preserve">— 9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поле_4_АР_АР_Ч16_Модульная компрессорная_3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1439-2025-3-ИЛО2.2</w:t>
            </w:r>
            <w:r>
              <w:t xml:space="preserve"> </w:t>
            </w:r>
            <w:r>
              <w:t xml:space="preserve">— 12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поле_4_АР_АР_Ч17_Модульная компрессорная_4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1439-2025-3-ИЛО2.2</w:t>
            </w:r>
            <w:r>
              <w:t xml:space="preserve"> </w:t>
            </w:r>
            <w:r>
              <w:t xml:space="preserve">— 12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поле_4_АР_АР_Ч18_Модульная компрессорная_5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1439-2025-4-ИЛО2.2</w:t>
            </w:r>
            <w:r>
              <w:t xml:space="preserve"> </w:t>
            </w:r>
            <w:r>
              <w:t xml:space="preserve">— 12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поле_4_АР_АР_Ч19_Модульный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1439-2025-3-ИЛО2.2</w:t>
            </w:r>
            <w:r>
              <w:t xml:space="preserve"> </w:t>
            </w:r>
            <w:r>
              <w:t xml:space="preserve">— 17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поле_4_АР_АР_Ч20_Модульный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1439-2025-3-ИЛО2.2</w:t>
            </w:r>
            <w:r>
              <w:t xml:space="preserve"> </w:t>
            </w:r>
            <w:r>
              <w:t xml:space="preserve">— 17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поле_4_АР_АР_Ч21_Модульный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1439-2025-3-ИЛО2.2</w:t>
            </w:r>
            <w:r>
              <w:t xml:space="preserve"> </w:t>
            </w:r>
            <w:r>
              <w:t xml:space="preserve">— 17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поле_4_АР_АР_Ч5_Модульный пункт обогрева_1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4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поле_4_АР_АР_Ч6_БКТП 250 кВА_1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3.2.6. 1439-2025-3-ТКР2.6</w:t>
            </w:r>
            <w:r>
              <w:t xml:space="preserve"> </w:t>
            </w:r>
            <w:r>
              <w:t xml:space="preserve">— 4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4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поле_4_АР_АР_Ч7_БКТП 250 кВА_2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3.2.6. 1439-2025-3-ТКР2.6</w:t>
            </w:r>
            <w:r>
              <w:t xml:space="preserve"> </w:t>
            </w:r>
            <w:r>
              <w:t xml:space="preserve">— 4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4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1439-2025-3-ИЛО1.2</w:t>
            </w:r>
            <w:r>
              <w:t xml:space="preserve"> </w:t>
            </w:r>
            <w:r>
              <w:t xml:space="preserve">— 60 эл.</w:t>
            </w:r>
            <w:r>
              <w:br/>
            </w:r>
            <w:r>
              <w:t xml:space="preserve">— пусто —</w:t>
            </w:r>
            <w:r>
              <w:t xml:space="preserve"> </w:t>
            </w:r>
            <w:r>
              <w:t xml:space="preserve">— 16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1439-2025-3-ИЛО1.2</w:t>
            </w:r>
            <w:r>
              <w:t xml:space="preserve"> </w:t>
            </w:r>
            <w:r>
              <w:t xml:space="preserve">— 16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поле_4_АР_ПОМ_Ч49_Кладовая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поле_4_АР_ПОМ_Ч50_Туалетный модуль_3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поле_4_АР_ПОМ_Ч51_Туалетный модуль_4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поле_4_АР_ПОМ_Ч52_Туалетный модуль_5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1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поле_4_АР_ПОМ_Ч53_Модульная компрессорная_3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поле_4_АР_ПОМ_Ч54_Модульная компрессорная_4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поле_4_АР_ПОМ_Ч55_Модульная компрессорная_5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1439-2025-4-ИЛО1.2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поле_4_АР_ПОМ_Ч56_Модульный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1439-2025-3-ИЛО1.2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поле_4_АР_ПОМ_Ч57_Модульный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1439-2025-3-ИЛО1.2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поле_4_АР_ПОМ_Ч58_Модульный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1439-2025-3-ИЛО1.2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4.2.2. 1439-2025-4-ИЛО2.2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поле_4_КР_КЖ0_Ч10_Фундамент под емкость для туалета_1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5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поле_4_КР_КЖ0_Ч11_Фундамент под емкость для туалета_2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5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поле_4_КР_КЖ0_Ч12_Фундамент под емкость для туалета_3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5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поле_4_КР_КЖ0_Ч13_Фундамент Фм-1 под модульную компрессорную_1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поле_4_КР_КЖ0_Ч14_Фундамент Фм-1 под модульную компрессорную_2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поле_4_КР_КЖ0_Ч15_Фундамент Фм-2 под модульную компрессорную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поле_4_КР_КЖ0_Ч16_Фундамент КТП-100 кВА киоскного типа_1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поле_4_КР_КЖ0_Ч17_Фундамент КТП-100 кВА киоскного типа_2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поле_4_КР_КЖ0_Ч18_Фундамент КТП-100 кВА киоскного типа_3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поле_4_КР_КЖ0_Ч19_Фундамент КТП-100 кВА киоскного типа_4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поле_4_КР_КЖ0_Ч20_Фундамент КТП-100 кВА киоскного типа_5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поле_4_КР_КЖ0_Ч21_Фундамент КТП-100 кВА киоскного типа_6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поле_4_КР_КЖ0_Ч3_Фундамент под модуль КТСМ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35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поле_4_КР_КЖ0_Ч5_Фундамент БКТП 250 кВА_1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4.1.3. 1439-2025-4-ИЛО1.3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поле_4_КР_КЖ0_Ч6_Фундамент БКТП 250 кВА_2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— пусто —</w:t>
            </w:r>
            <w:r>
              <w:t xml:space="preserve"> </w:t>
            </w:r>
            <w:r>
              <w:t xml:space="preserve">— 3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4.1.3. 1439-2025-4-ИЛО1.3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поле_4_КР_КЖ_Ч4_Фундамент под 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поле_4_КР_КЖ_Ч5_Фундамент под 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поле_4_КР_КЖ_Ч6_Фундамент под 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4.1.3. 1439-2025-4-ИЛО2.3</w:t>
            </w:r>
            <w:r>
              <w:t xml:space="preserve"> </w:t>
            </w:r>
            <w:r>
              <w:t xml:space="preserve">— 2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поле_4_КР_КМ_Ч1_Ограждение территории 1-4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1439-2025-3-ИЛО1.3</w:t>
            </w:r>
            <w:r>
              <w:t xml:space="preserve"> </w:t>
            </w:r>
            <w:r>
              <w:t xml:space="preserve">— 20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поле_4_КР_КМ_Ч2_Ограждение территории 5-8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1439-2025-3-ИЛО1.3</w:t>
            </w:r>
            <w:r>
              <w:t xml:space="preserve"> </w:t>
            </w:r>
            <w:r>
              <w:t xml:space="preserve">— 20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поле_4_КР_КМ_Ч3_Ограждение территории 9-12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4.1.2. 1439-2025-3-ИЛО1.3</w:t>
            </w:r>
            <w:r>
              <w:t xml:space="preserve"> </w:t>
            </w:r>
            <w:r>
              <w:t xml:space="preserve">— 20 эл.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4.2.3. 1439-2025-4-ИЛО2.3</w:t>
            </w:r>
          </w:p>
        </w:tc>
      </w:tr>
    </w:tbl>
    <w:bookmarkEnd w:id="52"/>
    <w:bookmarkStart w:id="56" w:name="структура-модели-и-обязательные-атрибуты"/>
    <w:p>
      <w:pPr>
        <w:pStyle w:val="Heading2"/>
      </w:pPr>
      <w:r>
        <w:t xml:space="preserve">7. Структура модели и обязательные атрибуты</w:t>
      </w:r>
    </w:p>
    <w:p>
      <w:pPr>
        <w:pStyle w:val="FirstParagraph"/>
      </w:pPr>
      <w:r>
        <w:rPr>
          <w:bCs/>
          <w:b/>
        </w:rPr>
        <w:t xml:space="preserve">Структура.</w:t>
      </w:r>
      <w:r>
        <w:t xml:space="preserve"> </w:t>
      </w:r>
      <w:r>
        <w:t xml:space="preserve">Требуется: Project → Site «DefaultSite» → Building «DefaultBuilding» → Building Storey → группы элементов. Группы (Slabs, Walls, Doors, Beams, Others …) сделаны верно. Не соответствует: во всех моделях АР и КР площадка «Площадка», здание «Здание» (в 3 этапе — имя файла); в ОС и ПОМ площадка «Default», здание «Наименование здания». Должно быть «DefaultSite» / «DefaultBuilding». Уровни: в КЖ_Ч1–Ч3 уровень «Приямок» — такого уровня в EIR нет, должен быть «Фундамент»; в КЖ0 фундаменты КТП-100 (Ч16–Ч21) на уровне «Этаж 01», остальные КЖ0 — «Фундамент»; привести к одному.</w:t>
      </w:r>
    </w:p>
    <w:p>
      <w:pPr>
        <w:pStyle w:val="Figure"/>
      </w:pPr>
      <w:r>
        <w:drawing>
          <wp:inline>
            <wp:extent cx="9612000" cy="236525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fin/10_структура_проекта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236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Обязательные атрибуты</w:t>
      </w:r>
      <w:r>
        <w:t xml:space="preserve"> </w:t>
      </w:r>
      <w:r>
        <w:t xml:space="preserve">«Шифр проекта», «Name», «Material», «Уровень» должны быть у всех элементов всех моделей (группы структуры Slabs/Walls/… — не элементы, к ним не относится). Не заполнено: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Файл модели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Что не заполнено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поле_4_АР_АР_Ч13_Туалетный модуль_3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поле_4_АР_АР_Ч13_Туалетный модуль_3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поле_4_АР_АР_Ч14_Туалетный модуль_4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поле_4_АР_АР_Ч14_Туалетный модуль_4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поле_4_АР_АР_Ч15_Туалетный модуль_5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поле_4_АР_АР_Ч15_Туалетный модуль_5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поле_4_АР_АР_Ч19_Модульный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поле_4_АР_АР_Ч19_Модульный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поле_4_АР_АР_Ч19_Модульный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поле_4_АР_АР_Ч20_Модульный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поле_4_АР_АР_Ч20_Модульный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поле_4_АР_АР_Ч20_Модульный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поле_4_АР_АР_Ч21_Модульный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поле_4_АР_АР_Ч21_Модульный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поле_4_АР_АР_Ч21_Модульный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поле_4_АР_АР_Ч2_Туалетный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поле_4_АР_АР_Ч5_Модульный пункт обогрева_1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поле_4_АР_АР_Ч5_Модульный пункт обогрева_1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поле_4_АР_АР_Ч5_Модульный пункт обогрева_1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поле_4_АР_АР_Ч6_БКТП 250 кВА_1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«Решетка»: нет «Шифр проекта», «Material», «Уровень»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поле_4_АР_АР_Ч7_БКТП 250 кВА_2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«Решетка»: нет «Шифр проекта», «Material», «Уровень»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«Кровля двускатная металлическая неэксплуатируемая 152мм»: нет «Уровень»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поле_4_АР_АР_Ч8_Бытовой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поле_4_АР_ПОМ_Ч43_Туалетный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поле_4_АР_ПОМ_Ч44_Туалетный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поле_4_АР_ПОМ_Ч45_Модульная компрессорная_1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поле_4_АР_ПОМ_Ч46_Модульная компрессорная_2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поле_4_АР_ПОМ_Ч47_Модульный пункт обогрева_1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поле_4_АР_ПОМ_Ч48_Бытовой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поле_4_АР_ПОМ_Ч49_Кладовая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«Шифр проекта»,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поле_4_АР_ПОМ_Ч50_Туалетный модуль_3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поле_4_АР_ПОМ_Ч51_Туалетный модуль_4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поле_4_АР_ПОМ_Ч52_Туалетный модуль_5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поле_4_АР_ПОМ_Ч53_Модульная компрессорная_3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поле_4_АР_ПОМ_Ч54_Модульная компрессорная_4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поле_4_АР_ПОМ_Ч55_Модульная компрессорная_5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поле_4_АР_ПОМ_Ч56_Модульный пункт обогрева_2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поле_4_АР_ПОМ_Ч57_Модульный пункт обогрева_3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поле_4_АР_ПОМ_Ч58_Модульный пункт обогрева_4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(вместо «Name» 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поле_4_КР_КЖ0_Ч5_Фундамент БКТП 250 кВА_1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«Блок БКТП»: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поле_4_КР_КЖ0_Ч5_Фундамент БКТП 250 кВА_1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«Выравнивающий слой песка 50мм»: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поле_4_КР_КЖ0_Ч6_Фундамент БКТП 250 кВА_2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«Блок БКТП»: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1439-2025-4_Круглое поле_4_КР_КЖ0_Ч6_Фундамент БКТП 250 кВА_2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«Выравнивающий слой песка 50мм»: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56"/>
    <w:bookmarkStart w:id="57" w:name="к-сведению-посадка-относительно-пзу"/>
    <w:p>
      <w:pPr>
        <w:pStyle w:val="Heading2"/>
      </w:pPr>
      <w:r>
        <w:t xml:space="preserve">8. К сведению — посадка относительно ПЗУ</w:t>
      </w:r>
    </w:p>
    <w:p>
      <w:pPr>
        <w:pStyle w:val="FirstParagraph"/>
      </w:pPr>
      <w:r>
        <w:t xml:space="preserve">0.000 зданий соответствуют ПД. Пункт обогрева_2 (АР_Ч19, 189,35) и туалет_3 (АР_Ч13) частично засыпаны поверхностью ПЗУ Ч5 (до 189,73) — это замечание к модели ПЗУ (Пятница), передано.</w:t>
      </w:r>
    </w:p>
    <w:bookmarkEnd w:id="57"/>
    <w:bookmarkEnd w:id="58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2">
    <w:nsid w:val="A9920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99203">
    <w:nsid w:val="A9920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Roman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Roman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53" Type="http://schemas.openxmlformats.org/officeDocument/2006/relationships/image" Target="media/rId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2026-10-23T05:55:42Z</dcterms:created>
  <dcterms:modified xsi:type="dcterms:W3CDTF">2026-10-23T05:55:42Z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