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17698d9ba07cb626bc683afbcf64d75f4d4499d"/>
    <w:p>
      <w:pPr>
        <w:pStyle w:val="Heading1"/>
      </w:pPr>
      <w:r>
        <w:t xml:space="preserve">Сравнение редакций тома 4.1.2 «Архитектурные решения» 1439/2025/4-ИЛО1.2</w:t>
      </w:r>
    </w:p>
    <w:p>
      <w:pPr>
        <w:pStyle w:val="FirstParagraph"/>
      </w:pPr>
      <w:r>
        <w:t xml:space="preserve">Этап №4. Строительство железнодорожных путей общего пользования (приемоотправочный парк ст. Круглое Поле). Раздел 4, подраздел 1, часть 2.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6357"/>
        <w:gridCol w:w="6357"/>
        <w:gridCol w:w="2421"/>
      </w:tblGrid>
      <w:tr>
        <w:trPr>
          <w:tblHeader w:val="true"/>
        </w:trPr>
        <w:tc>
          <w:tcPr>
            <w:tcW w:type="dxa" w:w="6358"/>
          </w:tcPr>
          <w:p>
            <w:pPr>
              <w:pStyle w:val="Compact"/>
            </w:pP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Редакция 1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Редакция 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Раздел ПД №4 Подраздел №1 Часть №2 ИЛО1.2 (Парк_АР)(1439_2025_4) 26.07.29.pdf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Раздел ПД №4 Подраздел №1 Часть №2 ИЛО1.2 (Парк_АР)(1439_2025_4) 26.10.16.pdf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Дата изменения файла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29.07.2026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16.10.2026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Страниц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101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Порядок сравнения.</w:t>
      </w:r>
      <w:r>
        <w:t xml:space="preserve"> </w:t>
      </w:r>
      <w:r>
        <w:t xml:space="preserve">Текст всех страниц сравнён дословно. Все 41 страница, совпадающие по составу, сравнены попиксельно; каждое найденное изменение просмотрено на листе. Значения «было / стало» выписаны из файлов, суммы пересчитаны. Технические паспорта, добавленные в редакцию 2, по содержанию не анализировались. Имя файла редакции 1 восстановлено по имени присланного файла.</w:t>
      </w:r>
    </w:p>
    <w:bookmarkStart w:id="20" w:name="состав-тома"/>
    <w:p>
      <w:pPr>
        <w:pStyle w:val="Heading2"/>
      </w:pPr>
      <w:r>
        <w:t xml:space="preserve">1. Состав тома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6357"/>
        <w:gridCol w:w="6357"/>
        <w:gridCol w:w="2421"/>
      </w:tblGrid>
      <w:tr>
        <w:trPr>
          <w:tblHeader w:val="true"/>
        </w:trP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Редакция 1 (26.07.29)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Редакция 2 (26.10.16)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Титульные листы, содержание тома 1439/2025/4-ИЛО1.2-С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стр. 1–4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стр. 1–4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Текстовая часть 1439/2025/4-ИЛО1.2-ТЧ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стр. 5–27 (23 листа)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стр. 5–27 (23 листа)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Графическая часть 1439/2025/4-ИЛО1.2-ГЧ.01 … ГЧ.14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стр. 28–41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стр. 28–41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Технический паспорт «Здание мобильное (инвентарное) контейнерного типа «БЫТОВОЙ МОДУЛЬ»», состояние на апрель 2026 г.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стр. 42–61 (20 стр.)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Технический паспорт «… контейнерного типа «КЛАДОВАЯ»», состояние на апрель 2026 г.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стр. 62–79 (18 стр.)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Технический паспорт «… контейнерного типа Туалетный модуль (с чашей генуя)», состояние на июль 2024 г.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стр. 80–101 (22 стр.)</w:t>
            </w:r>
          </w:p>
        </w:tc>
      </w:tr>
    </w:tbl>
    <w:bookmarkEnd w:id="20"/>
    <w:bookmarkStart w:id="21" w:name="текстовая-часть-143920254-ило1.2-тч"/>
    <w:p>
      <w:pPr>
        <w:pStyle w:val="Heading2"/>
      </w:pPr>
      <w:r>
        <w:t xml:space="preserve">2. Текстовая часть 1439/2025/4-ИЛО1.2-ТЧ</w:t>
      </w:r>
    </w:p>
    <w:p>
      <w:pPr>
        <w:pStyle w:val="FirstParagraph"/>
      </w:pPr>
      <w:r>
        <w:t xml:space="preserve">Ниже — все изменения текста. Остальной текст совпадает дословно, кроме номеров разделов и страниц в содержании.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6357"/>
        <w:gridCol w:w="6357"/>
        <w:gridCol w:w="2421"/>
      </w:tblGrid>
      <w:tr>
        <w:trPr>
          <w:tblHeader w:val="true"/>
        </w:trP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Редакция 1 (26.07.29)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Редакция 2 (26.10.16)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Титульный лист, стр. 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«Главный инженер» Мезенцев Д.В.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«Главный инженер проекта» Мезенцев Д.В.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Содержание текстовой части, стр. 5–6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Разделы 1–17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Разделы 1–16; добавлены подразделы 5.1–5.4; раздел «11. Результаты расчетов продолжительности инсоляции и коэффициента естественной освещенности» исключён, разделы 12–17 перенумерованы в 11–16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3.2 Туалетный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«Теплая кабина изготавливается в автономном варианте с унитазом со сквозным отверстием в полу кабины. Габаритные размеры здания – 1,7х1,4х2,69 (h) м.»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«Теплая кабина изготавливается в автономном варианте с чашей Генуя, с подключением к наружным сетям водоснабжения и водоотведения Габаритные размеры здания – 2 000×1 500×2 650.»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3.4 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«…габаритные размеры 18,0х9,0х2,8 (h) м…»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«…габаритные размеры 18,0х9,0х4,29 (h) м…»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3.7 Здание МК АТС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«Габаритные размеры модуля 6,6×21,9×2,69 (h) м.»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«Габаритные размеры модуля 6,3×23,1×2,75 (h) м.»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5 Энергетическая эффективность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Один абзац: «Наружные стены и покрытие всех зданий выполнены из сэндвич-панелей с использованием эффективного утеплителя… Окна из ПВХ профилей с однокамерными или двухкамерными стеклопакетами… Все наружные двери выполнены утепленными.»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Подразделы 5.1 Туалетный модуль, 5.2 Модульный пункт обогрева, 5.3 Бытовой модуль, 5.4 Кладовая: стены — трёхслойная сэндвич-панель, базальтовая вата 120 мм, 100–110 кг/м3, облицовка 0,7 мм; таблицы сопротивления теплопередаче (туалетный модуль: крыша 4,20, стена 3,19, пол 4,36; пункт обогрева: 4,15 / 4,11 / 4,36; бытовой модуль и кладовая: 3,79 / 3,79 / 4,29 м2·°C/Вт); входные двери по ГОСТ 31173-2016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8 Композиционные приёмы (фасады)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Добавлено: «Комбинация указанных цветов RAL по схеме окраски зданий в соответствии с требованиями Руководства по применению фирменного стиля ОАО «РЖД», прил. 14 Правила цветового оформления объектов инфраструктуры, утвержденного распоряжением ОАО «РЖД» 15.12.2011 №2724р.»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9 Отделка помещений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«Обшивка потолка «Туалетного модуля» выполнена панелью металлической 0,5 мм.» «Стены… базальтовым волокном толщиной 80 мм… Обшивка внутренних стен выполнена из алюминиевого листа рифленого… толщиной 1,5 мм.»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«Потолок «Туалетного модуля» изготовлен из стеновых трехслойных панелей… базальтовым волокном толщиной 120 мм…» «Стены… толщиной 120 мм… Обшивка стен выполнена из стали оцинкованной толщиной 0,5 мм.» Добавлено: отделка путей эвакуации из материалов НГ; линолеум Tarkett ACCZENT PRO или аналог, КМ2; кабели с индексом LS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10 Естественное освещение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«…окна из ПВХ-профиля с двухкамерным стеклопакетом… окно из ПВХ профиля с однокамерным стеклопакетом.»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Добавлено «по ГОСТ 30674—2023»; система Grain-Prestige 70 мм или аналог; размеры окон: 600×600 мм (туалетный модуль), 1200×1250 (модульный пункт обогрева), 1200×1200 (бытовой модуль); стеклопакет СПО (32 мм); для пункта обогрева — рольставни Alutech Trend PD55mN или аналог с электроприводом AM1/10-15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15 (было 16) Обоснование номенклатуры помещений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«Не разрабатывается.»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Полный текст: санитарно-бытовые помещения по СП 44.13330.2011; гардеробные, душевые, уборные при гардеробных, шкафы для сушки спецодежды в бытовом модуле; кладовые для спецодежды не предусмотрены; выдача спецодежды на складе Логистического комплекса; «Место для хранения уборочного инвентаря предусмотрено в помещении санузла, пом. №2.»</w:t>
            </w:r>
          </w:p>
        </w:tc>
      </w:tr>
    </w:tbl>
    <w:bookmarkEnd w:id="21"/>
    <w:bookmarkStart w:id="56" w:name="графическая-часть-143920254-ило1.2-гч"/>
    <w:p>
      <w:pPr>
        <w:pStyle w:val="Heading2"/>
      </w:pPr>
      <w:r>
        <w:t xml:space="preserve">3. Графическая часть 1439/2025/4-ИЛО1.2-ГЧ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7568"/>
        <w:gridCol w:w="7568"/>
      </w:tblGrid>
      <w:tr>
        <w:trPr>
          <w:tblHeader w:val="true"/>
        </w:trP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Лист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Изменения в редакции 2 (26.10.16)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1439/2025/4-ИЛО1.2-ГЧ.01 (стр. 28) Ведомость документов графической части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Без изменений (совпадает попиксельно)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1439/2025/4-ИЛО1.2-ГЧ.02 (стр. 29) Туалетный модуль. План, разрез 1-1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План: 1400×1700 → 1500×2000 мм. Разрез: высота 2690 → 2650 мм; добавлены отметки 0,000, +2,650, «+2,240 высота потолка»; состав стены, кровли и пола заменён (сэндвич-панель 120 мм, плита XPS 50 мм, минвата 150 мм, фанера 18 мм); надпись «Отмостку см. ПЗУ» и изображение отмостки на разрезе удалены. Экспликация: туалетная кабина 1,91 → 2,47 м². Основные показатели: площадь застройки 2,38 → 3,0 м², общая площадь 1,91 → 2,47 м², строительный объём 6,4 → 7,95 м³. Примечания 1–5 без изменений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1439/2025/4-ИЛО1.2-ГЧ.03 (стр. 30) Туалетный модуль. Фасады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Ширина 1400 → 1500 мм (фасады 1-2, 2-1) и 1700 → 2000 мм (А-Б, Б-А); верх «+2,690» → «+2,650». Фасад Б-А: добавлены отметки +1,950 и +1,350 (окно); отметка «134,81» под 0,000 удалена. Фасад 1-2: обозначение открывания двери показано зеркально. Полоса RAL 3020 показана ниже (высота полосы не проставлена ни в одной редакции)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1439/2025/4-ИЛО1.2-ГЧ.04 (стр. 31) Модульная компрессорная. План, разрез 1-1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Добавлены отметка «+2,970*» и сноска «* - уточнить по месту». Разрез 1-1 смещён на листе, его содержание не изменено. План, спецификация, экспликация, показатели, примечания — без изменений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1439/2025/4-ИЛО1.2-ГЧ.05 (стр. 32) Модульная компрессорная. Фасады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Добавлены отметки: «+2,300» (фасады 1-2 и А-Б), «+1,645» и «+1,230» (фасад 2-1). Остальное без изменений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1439/2025/4-ИЛО1.2-ГЧ.06 (стр. 33) Модульный пункт обогрева. План, разрез 1-1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«Окно 1000х1000мм» → «Окно 1200х1250мм»; на плане размеры по проёму 720 / 1000 / 720 → 620 / 1200 / 620 (оба модуля). Разрез: добавлена «+2,460 высота потолка». Экспликация, показатели, примечания без изменений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1439/2025/4-ИЛО1.2-ГЧ.07 (стр. 34) Модульный пункт обогрева. Фасады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Фасад В-А: отметки +2,890; +2,300; +1,900; +0,900 → +2,890; +2,150; +0,900. Фасад А-В: добавлена «+2,050». На всех четырёх фасадах удалена «−0,300 Ур.з.»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1439/2025/4-ИЛО1.2-ГЧ.08 (стр. 35) БКТП 250 кВА. Фасады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На всех четырёх фасадах удалены «−0,400 Ур.з.» и изображение рельефа и опор под зданием. Добавлены отметки: А-Г +2,480, +0,270; Г-А +2,540, +0,270; 1-2 и 2-1 +2,540, +1,730, +1,360, +0,550. Примечание 2 «…соответствует абсолютной отметке 149,51.» заменено на «За условные отметки 0.000 приняты отметки чистого пола, которые соответствуют абсолютным отметкам 149,51 в районе четной горловины проектируемого Парка и 150,21 в районе нечетной горловины проектируемого Парка.»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1439/2025/4-ИЛО1.2-ГЧ.09 (стр. 36) Бытовой модуль. План, разрез 1-1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План: мебель и оборудование не показаны; изменены перегородки и двери у оси Б в осях 5–7. Экспликация: было 16 позиций, стало 17 (см. таблицу ниже). Показатели: площадь застройки 162,0 м² и общая площадь 145,48 м² — без изменений; строительный объём 453,6 → 694,98 м³. Разрез: плоская кровля с верхом +2,800 заменена двускатной с верхом +4,290; добавлена «+2,500 высота потолка»; удалена «−0,300 Ур. земли»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1439/2025/4-ИЛО1.2-ГЧ.10 (стр. 37) Бытовой модуль. Фасады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Двускатная кровля: конёк +4,290, карниз +2,890 (было +2,800); показана разрезка на модули. Фасад 1-7: было 3 окна и 1 дверь, стало 1 окно и 1 дверь. Фасады А-Б, Б-А, 7-1: число проёмов не изменилось. Добавлены отметки +2,100 и +0,900 (окна), +2,050 (двери); удалена «−0,300 Ур. з.»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1439/2025/4-ИЛО1.2-ГЧ.11 (стр. 38) Кладовая. План, разрез 1-1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Добавлена «+2,700 высота потолка». Остальное без изменений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1439/2025/4-ИЛО1.2-ГЧ.12 (стр. 39) Кладовая. Фасады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Добавлена «+2,050» на фасаде 1-2. Остальное без изменений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1439/2025/4-ИЛО1.2-ГЧ.13 (стр. 40) Модуль АСДТ-5. Фасады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На всех четырёх фасадах удалены «−0,300 Ур. з.» и изображение опор; на фасаде А-Б добавлена «+2,050»</w:t>
            </w:r>
          </w:p>
        </w:tc>
      </w:tr>
      <w:tr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1439/2025/4-ИЛО1.2-ГЧ.14 (стр. 41) Здание МК АТС. Фасады</w:t>
            </w:r>
          </w:p>
        </w:tc>
        <w:tc>
          <w:tcPr>
            <w:tcW w:type="dxa" w:w="7569"/>
          </w:tcPr>
          <w:p>
            <w:pPr>
              <w:pStyle w:val="Compact"/>
              <w:jc w:val="left"/>
            </w:pPr>
            <w:r>
              <w:t xml:space="preserve">Торцевые фасады: 6600 → 6300 мм. Продольные фасады: 21900 → 9000 + 3100 + 11000 = 23100 мм, добавлены оси 2 и 3; дверь на фасаде 4-1 показана у оси 3. Удалены «−0,300 Ур. з.» и «−0,200», добавлена «0,000»; верх «+2,690» → «+2,700» и «+2,750»; на фасаде 4-1 добавлена «+2,050». Название «Фасад в осях Б-А» заменено на «Фасад в осях А-Б»</w:t>
            </w:r>
          </w:p>
        </w:tc>
      </w:tr>
    </w:tbl>
    <w:p>
      <w:pPr>
        <w:pStyle w:val="CaptionedFigure"/>
      </w:pPr>
      <w:r>
        <w:drawing>
          <wp:inline>
            <wp:extent cx="7394655" cy="6047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1_туалет_план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4655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1439/2025/4-ИЛО1.2-ГЧ.02. Туалетный модуль: план и разрез 1-1 (на разрезе редакции 2 размер А–Б 1700 при 2000 на плане)</w:t>
      </w:r>
    </w:p>
    <w:p>
      <w:pPr>
        <w:pStyle w:val="CaptionedFigure"/>
      </w:pPr>
      <w:r>
        <w:drawing>
          <wp:inline>
            <wp:extent cx="9612000" cy="405943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1б_туалет_показатели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4059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1439/2025/4-ИЛО1.2-ГЧ.02. Туалетный модуль: экспликация и основные строительные показатели</w:t>
      </w:r>
    </w:p>
    <w:p>
      <w:pPr>
        <w:pStyle w:val="CaptionedFigure"/>
      </w:pPr>
      <w:r>
        <w:drawing>
          <wp:inline>
            <wp:extent cx="9303887" cy="604799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7_туалет_фасады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3887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1439/2025/4-ИЛО1.2-ГЧ.03. Туалетный модуль: фасады</w:t>
      </w:r>
    </w:p>
    <w:p>
      <w:pPr>
        <w:pStyle w:val="CaptionedFigure"/>
      </w:pPr>
      <w:r>
        <w:drawing>
          <wp:inline>
            <wp:extent cx="9612000" cy="331357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2_компрессорная_отметка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313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1439/2025/4-ИЛО1.2-ГЧ.04. Модульная компрессорная: разрез 1-1</w:t>
      </w:r>
    </w:p>
    <w:p>
      <w:pPr>
        <w:pStyle w:val="CaptionedFigure"/>
      </w:pPr>
      <w:r>
        <w:drawing>
          <wp:inline>
            <wp:extent cx="9612000" cy="334480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3_пункт_обогрева_окно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344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1439/2025/4-ИЛО1.2-ГЧ.06. Модульный пункт обогрева: окно на плане</w:t>
      </w:r>
    </w:p>
    <w:p>
      <w:pPr>
        <w:pStyle w:val="CaptionedFigure"/>
      </w:pPr>
      <w:r>
        <w:drawing>
          <wp:inline>
            <wp:extent cx="8244354" cy="604799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8_пункт_обогрева_фасады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4354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1439/2025/4-ИЛО1.2-ГЧ.07. Модульный пункт обогрева: фасады В-А и А-В</w:t>
      </w:r>
    </w:p>
    <w:p>
      <w:pPr>
        <w:pStyle w:val="CaptionedFigure"/>
      </w:pPr>
      <w:r>
        <w:drawing>
          <wp:inline>
            <wp:extent cx="9612000" cy="334283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4_БКТП_отметки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34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1439/2025/4-ИЛО1.2-ГЧ.08. БКТП 250 кВА: примечания</w:t>
      </w:r>
    </w:p>
    <w:bookmarkStart w:id="55" w:name="Xacefd349ab34b78aca861b6cac2212bf2d530db"/>
    <w:p>
      <w:pPr>
        <w:pStyle w:val="Heading3"/>
      </w:pPr>
      <w:r>
        <w:t xml:space="preserve">Экспликация помещений бытового модуля, лист 1439/2025/4-ИЛО1.2-ГЧ.09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2522"/>
        <w:gridCol w:w="2522"/>
        <w:gridCol w:w="2522"/>
        <w:gridCol w:w="2522"/>
        <w:gridCol w:w="2522"/>
        <w:gridCol w:w="2522"/>
      </w:tblGrid>
      <w:tr>
        <w:trPr>
          <w:tblHeader w:val="true"/>
        </w:trP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Редакция 1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Редакция 2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м²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Комната приема пищи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12,17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Комната приема пищи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12,17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с/у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4,72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Тамбур с раковиной и местом для уборочного инвентаря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3,60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с/у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2,16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2а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Уборная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0,95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Гардеробная мужская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9,54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Тамбур с раковиной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1,10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Гардеробная мужская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19,88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3а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Уборная при гардеробной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0,95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Душевая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5,32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4-5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Гардеробная мужская на 6 чел. (2г)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35,16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Помещение сушки спецодежды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4,36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Душевая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5,32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Гардеробная женская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9,69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Помещение сушки спецодежды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4,36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Душевая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2,00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Гардеробная женская на 2 чел. (2г)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9,69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с/у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3,13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Душевая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2,00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Коридор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32,64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с/у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3,13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Кабинет приемосдатчиков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10,91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Коридор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32,64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Кабинет Мастера ПТО, ОРВ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16,00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Кабинет приемосдатчиков 2 чел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10,91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Электрощитовая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3,88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Кабинет мастера и оператора ПТО (2 чел)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16,20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Серверная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4,20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Электрощитовая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3,63</w:t>
            </w:r>
          </w:p>
        </w:tc>
      </w:tr>
      <w:tr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Водомерный узел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4,88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Серверная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4,20</w:t>
            </w:r>
          </w:p>
        </w:tc>
      </w:tr>
      <w:tr>
        <w:tc>
          <w:tcPr>
            <w:tcW w:type="dxa" w:w="2523"/>
          </w:tcPr>
          <w:p>
            <w:pPr>
              <w:pStyle w:val="Compact"/>
            </w:pPr>
          </w:p>
        </w:tc>
        <w:tc>
          <w:tcPr>
            <w:tcW w:type="dxa" w:w="2523"/>
          </w:tcPr>
          <w:p>
            <w:pPr>
              <w:pStyle w:val="Compact"/>
            </w:pPr>
          </w:p>
        </w:tc>
        <w:tc>
          <w:tcPr>
            <w:tcW w:type="dxa" w:w="2523"/>
          </w:tcPr>
          <w:p>
            <w:pPr>
              <w:pStyle w:val="Compact"/>
            </w:pP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Водомерный узел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4,88</w:t>
            </w:r>
          </w:p>
        </w:tc>
      </w:tr>
      <w:tr>
        <w:tc>
          <w:tcPr>
            <w:tcW w:type="dxa" w:w="2523"/>
          </w:tcPr>
          <w:p>
            <w:pPr>
              <w:pStyle w:val="Compact"/>
            </w:pP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Сумма площадей помещений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145,48</w:t>
            </w:r>
          </w:p>
        </w:tc>
        <w:tc>
          <w:tcPr>
            <w:tcW w:type="dxa" w:w="2523"/>
          </w:tcPr>
          <w:p>
            <w:pPr>
              <w:pStyle w:val="Compact"/>
            </w:pP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Сумма площадей помещений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150,89</w:t>
            </w:r>
          </w:p>
        </w:tc>
      </w:tr>
      <w:tr>
        <w:tc>
          <w:tcPr>
            <w:tcW w:type="dxa" w:w="2523"/>
          </w:tcPr>
          <w:p>
            <w:pPr>
              <w:pStyle w:val="Compact"/>
            </w:pP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Общая площадь по показателям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145,48</w:t>
            </w:r>
          </w:p>
        </w:tc>
        <w:tc>
          <w:tcPr>
            <w:tcW w:type="dxa" w:w="2523"/>
          </w:tcPr>
          <w:p>
            <w:pPr>
              <w:pStyle w:val="Compact"/>
            </w:pP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Общая площадь по показателям</w:t>
            </w:r>
          </w:p>
        </w:tc>
        <w:tc>
          <w:tcPr>
            <w:tcW w:type="dxa" w:w="2523"/>
          </w:tcPr>
          <w:p>
            <w:pPr>
              <w:pStyle w:val="Compact"/>
              <w:jc w:val="left"/>
            </w:pPr>
            <w:r>
              <w:t xml:space="preserve">145,48</w:t>
            </w:r>
          </w:p>
        </w:tc>
      </w:tr>
    </w:tbl>
    <w:p>
      <w:pPr>
        <w:pStyle w:val="CaptionedFigure"/>
      </w:pPr>
      <w:r>
        <w:drawing>
          <wp:inline>
            <wp:extent cx="9612000" cy="248605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5_бытовой_экспликация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248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1439/2025/4-ИЛО1.2-ГЧ.09. Бытовой модуль: экспликация и основные строительные показатели</w:t>
      </w:r>
    </w:p>
    <w:p>
      <w:pPr>
        <w:pStyle w:val="CaptionedFigure"/>
      </w:pPr>
      <w:r>
        <w:drawing>
          <wp:inline>
            <wp:extent cx="9612000" cy="185847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5б_бытовой_разрез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185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1439/2025/4-ИЛО1.2-ГЧ.09. Бытовой модуль: разрез 1-1</w:t>
      </w:r>
    </w:p>
    <w:p>
      <w:pPr>
        <w:pStyle w:val="CaptionedFigure"/>
      </w:pPr>
      <w:r>
        <w:drawing>
          <wp:inline>
            <wp:extent cx="9612000" cy="282191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9_бытовой_фасады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2821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1439/2025/4-ИЛО1.2-ГЧ.10. Бытовой модуль: фасады</w:t>
      </w:r>
    </w:p>
    <w:p>
      <w:pPr>
        <w:pStyle w:val="CaptionedFigure"/>
      </w:pPr>
      <w:r>
        <w:drawing>
          <wp:inline>
            <wp:extent cx="9612000" cy="439651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cmp12/fig/06_МК_АТС_фасады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4396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1439/2025/4-ИЛО1.2-ГЧ.14. Здание МК АТС: фасады</w:t>
      </w:r>
    </w:p>
    <w:bookmarkEnd w:id="55"/>
    <w:bookmarkEnd w:id="56"/>
    <w:bookmarkStart w:id="57" w:name="X176efa5070e46b60ed18966ef9996789d4108ae"/>
    <w:p>
      <w:pPr>
        <w:pStyle w:val="Heading2"/>
      </w:pPr>
      <w:r>
        <w:t xml:space="preserve">4. Несоответствия внутри редакции 2, выявленные при сравнении — требуют уточнения у проектировщика</w:t>
      </w:r>
    </w:p>
    <w:p>
      <w:pPr>
        <w:pStyle w:val="FirstParagraph"/>
      </w:pPr>
      <w:r>
        <w:t xml:space="preserve">Перечень не является полной проверкой тома: в него вошли несоответствия, обнаруженные в изменённых местах.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6357"/>
        <w:gridCol w:w="6357"/>
        <w:gridCol w:w="2421"/>
      </w:tblGrid>
      <w:tr>
        <w:trPr>
          <w:tblHeader w:val="true"/>
        </w:trP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Что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1439/2025/4-ИЛО1.2-ГЧ.09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Сумма площадей помещений по экспликации 150,89 м², общая площадь в основных строительных показателях 145,48 м² (в редакции 26.07.29 сумма 145,48 м² совпадала с показателями)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1439/2025/4-ИЛО1.2-ГЧ.09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На плане нет номера помещения 7 (в экспликации есть поз. 7 «Помещение сушки спецодежды», 4,36 м²); помещения 4 и 5 на плане пронумерованы раздельно, в экспликации — одной строкой «4-5»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1439/2025/4-ИЛО1.2-ТЧ, раздел 15 / 1439/2025/4-ИЛО1.2-ГЧ.09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В текстовой части: «Место для хранения уборочного инвентаря предусмотрено в помещении санузла, пом. №2». На листе ГЧ.09 пом. 2 — «Тамбур с раковиной и местом для уборочного инвентаря», уборная — пом. 2а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1439/2025/4-ИЛО1.2-ТЧ, подраздел 14.4 / 1439/2025/4-ИЛО1.2-ГЧ.09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В текстовой части основное помещение — «кабинет мастера ПТО, ОРВ», на листе — «Кабинет мастера и оператора ПТО (2 чел)»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1439/2025/4-ИЛО1.2-ТЧ, раздел 9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Сохранён текст «Полы в «Туалетном модуле» выполнены из алюминиевого листа рифленого (тип рифления квинтет) толщиной 1,5 мм» и добавлен текст «Напольное покрытие помещений туалетного модуля предусмотрено линолеумом Tarkett ACCZENT PRO, или аналогом». На листе ГЧ.02 в составе пола указан «Алюминиевый лист рифленый 1,5 мм»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1439/2025/4-ИЛО1.2-ТЧ, подраздел 5.2 / 1439/2025/4-ИЛО1.2-ГЧ.06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Модульный пункт обогрева: в тексте подраздела 5.2 «Базальтовая вата толщиной 120 мм», в таблице того же подраздела «Стена Базальт. вата 150», на разрезе листа ГЧ.06 «Панель стеновая трехслойная с базальтовой ватой… – 150 мм»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1439/2025/4-ИЛО1.2-ТЧ, подразделы 5.2, 5.3 и раздел 10 / 1439/2025/4-ИЛО1.2-ГЧ.09, ГЧ.10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Тип стеклопакета бытового модуля и пункта обогрева: подразделы 5.2 и 5.3 — «с однокамерными стеклопакетами»; раздел 10 — «окна из ПВХ-профиля с двухкамерным стеклопакетом по ГОСТ 30674—2023» и далее «Заполнение: стеклопакет однокамерный, энергоэффективный, тонированный СПО (32 мм)»; примечания листов ГЧ.09 и ГЧ.10 — «Окна металлопластиковые с двухкамерным стеклопакетом толщиной 32мм»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1439/2025/4-ИЛО1.2-ГЧ.02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На плане размер между осями А–Б 2000 мм, на разрезе 1-1 между теми же осями — 1700 мм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1439/2025/4-ИЛО1.2-ГЧ.04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Отметка «+2,970*» со сноской «* - уточнить по месту» — значение не определено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1439/2025/4-ИЛО1.2-ГЧ.08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Два примечания под номером «1.»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1439/2025/4-ИЛО1.2-ГЧ.14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Два фасада с названием «Фасад в осях А-Б»; у второго оси подписаны в порядке Б…А (в редакции 26.07.29 — «Фасад в осях Б-А»)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1439/2025/4-ИЛО1.2-С (стр. 4) Содержание тома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Содержание тома в обеих редакциях одинаковое: «Текстовая часть» (с. 4), «Графическая часть» (с. 27). Добавленные в редакцию 26.10.16 технические паспорта (стр. 42–101) в содержании не указаны</w:t>
            </w:r>
          </w:p>
        </w:tc>
      </w:tr>
    </w:tbl>
    <w:bookmarkEnd w:id="57"/>
    <w:bookmarkStart w:id="58" w:name="Xdcd45177e72b6c573c85395962974fe6afeb033"/>
    <w:p>
      <w:pPr>
        <w:pStyle w:val="Heading2"/>
      </w:pPr>
      <w:r>
        <w:t xml:space="preserve">5. Проверено: размеры в текстовой и графической частях редакции 2 согласованы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6357"/>
        <w:gridCol w:w="6357"/>
        <w:gridCol w:w="2421"/>
      </w:tblGrid>
      <w:tr>
        <w:trPr>
          <w:tblHeader w:val="true"/>
        </w:trP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Объект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Текстовая часть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Графическая часть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Туалетный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ТЧ 3.2: 2 000×1 500×2 650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ГЧ.02: план 1500×2000, разрез 2650; ГЧ.03: ширина 1500 / 2000, верх +2,650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ТЧ 3.4: 18,0х9,0х4,29 (h) м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ГЧ.09, ГЧ.10: 18000×9000, верх +4,290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Здание МК АТС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ТЧ 3.7: 6,3×23,1×2,75 (h) м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ГЧ.14: 6300; 9000+3100+11000 = 23100; верх +2,750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Окно пункта обогрева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ТЧ 10: 1200×1250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ГЧ.06: «Окно 1200х1250мм», проём 1200; ГЧ.07: +2,150 − 0,900 = 1,250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Окно туалетного модуля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ТЧ 10: 600×600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ГЧ.03: +1,950 − 1,350 = 0,600 (ширина окна на листе не проставлена)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Окно бытового модуля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ТЧ 10: 1200×1200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ГЧ.10: +2,100 − 0,900 = 1,200 (ширина окна на листе не проставлена)</w:t>
            </w:r>
          </w:p>
        </w:tc>
      </w:tr>
    </w:tbl>
    <w:bookmarkEnd w:id="58"/>
    <w:bookmarkEnd w:id="59"/>
    <w:sectPr>
      <w:pgSz w:orient="landscape" w:w="16838" w:h="11906"/>
      <w:pgMar w:left="850" w:right="850" w:top="737" w:bottom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val="C0392B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rFonts w:ascii="Arial" w:hAnsi="Arial" w:cs="Arial" w:eastAsia="Arial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color w:val="008000"/>
      <w:rFonts w:ascii="Arial" w:hAnsi="Arial" w:cs="Arial" w:eastAsia="Arial"/>
      <w:b/>
    </w:rPr>
  </w:style>
  <w:style w:type="character" w:customStyle="1" w:styleId="CommentTok">
    <w:name w:val="CommentTok"/>
    <w:basedOn w:val="VerbatimChar"/>
    <w:rPr>
      <w:color w:val="60a0b0"/>
      <w:rFonts w:ascii="Arial" w:hAnsi="Arial" w:cs="Arial" w:eastAsia="Arial"/>
      <w:i/>
    </w:rPr>
  </w:style>
  <w:style w:type="character" w:customStyle="1" w:styleId="DocumentationTok">
    <w:name w:val="DocumentationTok"/>
    <w:basedOn w:val="VerbatimChar"/>
    <w:rPr>
      <w:color w:val="ba2121"/>
      <w:rFonts w:ascii="Arial" w:hAnsi="Arial" w:cs="Arial" w:eastAsia="Arial"/>
      <w:i/>
    </w:rPr>
  </w:style>
  <w:style w:type="character" w:customStyle="1" w:styleId="AnnotationTok">
    <w:name w:val="Annot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CommentVarTok">
    <w:name w:val="CommentVar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Arial" w:hAnsi="Arial" w:cs="Arial" w:eastAsia="Arial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WarningTok">
    <w:name w:val="Warning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AlertTok">
    <w:name w:val="AlertTok"/>
    <w:basedOn w:val="VerbatimChar"/>
    <w:rPr>
      <w:color w:val="ff0000"/>
      <w:rFonts w:ascii="Arial" w:hAnsi="Arial" w:cs="Arial" w:eastAsia="Arial"/>
      <w:b/>
    </w:rPr>
  </w:style>
  <w:style w:type="character" w:customStyle="1" w:styleId="ErrorTok">
    <w:name w:val="ErrorTok"/>
    <w:basedOn w:val="VerbatimChar"/>
    <w:rPr>
      <w:color w:val="ff0000"/>
      <w:rFonts w:ascii="Arial" w:hAnsi="Arial" w:cs="Arial" w:eastAsia="Arial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40" Type="http://schemas.openxmlformats.org/officeDocument/2006/relationships/image" Target="media/rId40.png"/><Relationship Id="rId43" Type="http://schemas.openxmlformats.org/officeDocument/2006/relationships/image" Target="media/rId43.png"/><Relationship Id="rId46" Type="http://schemas.openxmlformats.org/officeDocument/2006/relationships/image" Target="media/rId46.png"/><Relationship Id="rId52" Type="http://schemas.openxmlformats.org/officeDocument/2006/relationships/image" Target="media/rId52.png"/><Relationship Id="rId28" Type="http://schemas.openxmlformats.org/officeDocument/2006/relationships/image" Target="media/rId28.png"/><Relationship Id="rId37" Type="http://schemas.openxmlformats.org/officeDocument/2006/relationships/image" Target="media/rId37.png"/><Relationship Id="rId49" Type="http://schemas.openxmlformats.org/officeDocument/2006/relationships/image" Target="media/rId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2026-10-24T06:10:42Z</dcterms:created>
  <dcterms:modified xsi:type="dcterms:W3CDTF">2026-10-24T06:10:42Z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