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39fd7aa9b59de83b1d62ca0c8dabc08c8d5e37c"/>
    <w:p>
      <w:pPr>
        <w:pStyle w:val="Heading1"/>
      </w:pPr>
      <w:r>
        <w:t xml:space="preserve">Вопросы к Беловой — этап 5, комплекты АР и КР (51 модель IFC)</w:t>
      </w:r>
    </w:p>
    <w:p>
      <w:pPr>
        <w:pStyle w:val="FirstParagraph"/>
      </w:pPr>
      <w:r>
        <w:t xml:space="preserve">Папка:</w:t>
      </w:r>
      <w:r>
        <w:t xml:space="preserve"> </w:t>
      </w:r>
      <w:r>
        <w:rPr>
          <w:bCs/>
          <w:b/>
        </w:rPr>
        <w:t xml:space="preserve">ЖД станция / Работа над ошибками / Белова / 5 этап</w:t>
      </w:r>
      <w:r>
        <w:t xml:space="preserve">. Модели сверены с ПД</w:t>
      </w:r>
      <w:r>
        <w:t xml:space="preserve"> </w:t>
      </w:r>
      <w:r>
        <w:rPr>
          <w:bCs/>
          <w:b/>
        </w:rPr>
        <w:t xml:space="preserve">Раздел ПД №4 Часть №2 ИЛО2 (АР)(1439_2025_5).pdf</w:t>
      </w:r>
      <w:r>
        <w:t xml:space="preserve">,</w:t>
      </w:r>
      <w:r>
        <w:t xml:space="preserve"> </w:t>
      </w:r>
      <w:r>
        <w:rPr>
          <w:bCs/>
          <w:b/>
        </w:rPr>
        <w:t xml:space="preserve">Раздел ПД №4 Часть №3 ИЛО3 (КР)(1439_2025_5).pdf</w:t>
      </w:r>
      <w:r>
        <w:t xml:space="preserve">, DXF ИЛО2/ИЛО3, ВОР</w:t>
      </w:r>
      <w:r>
        <w:t xml:space="preserve"> </w:t>
      </w:r>
      <w:r>
        <w:rPr>
          <w:bCs/>
          <w:b/>
        </w:rPr>
        <w:t xml:space="preserve">4.3. 1439_2025_5-ИЛО3.ВОР (КР)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4.5. …ИЛО5.ВОР (ТХ)</w:t>
      </w:r>
      <w:r>
        <w:t xml:space="preserve">, с EIR (Приложение №1). Посадка зданий и ограждения проверена по моделям ПЗУ 5 этапа (Пятница).</w:t>
      </w:r>
      <w:r>
        <w:t xml:space="preserve"> </w:t>
      </w:r>
      <w:r>
        <w:t xml:space="preserve">Проверено: схема и имена файлов, структура, обязательные атрибуты, Шифр, состав моделей против ПД/ВОР, размеры, марки, отметки, посадка, цвета.</w:t>
      </w:r>
    </w:p>
    <w:p>
      <w:pPr>
        <w:pStyle w:val="BodyText"/>
      </w:pPr>
      <w:r>
        <w:rPr>
          <w:bCs/>
          <w:b/>
        </w:rPr>
        <w:t xml:space="preserve">Что в порядке:</w:t>
      </w:r>
      <w:r>
        <w:t xml:space="preserve"> </w:t>
      </w:r>
      <w:r>
        <w:t xml:space="preserve">схема IFC4, представление ReferenceView_V1.2; Шифр проекта единый — «4.2. 1439-2025-5-ИЛО2» (АР), «4.3. 1439-2025-5-ИЛО3» (КР); группы элементов в структуре есть; отметки 0.000 всех 9 зданий совпадают с ПД (149,78; 146,48; 149,75; 146,43; 149,50; 149,43; 146,57; 149,67; 146,61); габариты модулей и фундаментных плит (кроме бытового модуля) — по ПД; плиты выступают за здания на 0,2 м; здания на поверхности ПЗУ не засыпаны; ограждения КМ_Ч2 (участки 1–4, 36 стоек) и КМ_Ч3 (участки 9–12, 23 стойки) по шагу соответствуют ПД.</w:t>
      </w:r>
    </w:p>
    <w:bookmarkStart w:id="26" w:name="ограждение-км-ч1ч3"/>
    <w:p>
      <w:pPr>
        <w:pStyle w:val="Heading2"/>
      </w:pPr>
      <w:r>
        <w:t xml:space="preserve">1. Ограждение (КМ Ч1–Ч3)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Ограждение посажено на одну отметку без учёта рельефа.</w:t>
      </w:r>
      <w:r>
        <w:t xml:space="preserve"> </w:t>
      </w:r>
      <w:r>
        <w:t xml:space="preserve">КМ_Ч1 (здание водоподготовки, участки 5–8): верх всех 138 фундаментов 144,77, поверхность ПЗУ 144,59–146,13 — утоплено до 1,36 м, местами висит до 0,18 м. КМ_Ч2 (ёмкости, участки 1–4): верх фундаментов 140,60 при поверхности ПЗУ Ч4 140,76–141,78 — утоплено на 0,16–1,18 м. По ПД стойка 2,1 м над землёй, фундамент на 1,8 м от уровня земли — сажать по рельефу.</w:t>
      </w:r>
    </w:p>
    <w:p>
      <w:pPr>
        <w:pStyle w:val="Figure"/>
      </w:pPr>
      <w:r>
        <w:drawing>
          <wp:inline>
            <wp:extent cx="8874874" cy="6047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1_ограждение_утоплено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4874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КМ_Ч1 — раскладка не по ПД:</w:t>
      </w:r>
      <w:r>
        <w:t xml:space="preserve"> </w:t>
      </w:r>
      <w:r>
        <w:t xml:space="preserve">шаг стоек 2,0 м, 138 стоек и фундаментов; по ПД участки 5–8 из панелей 3,0 и 2,5 м — 93 стойки (ГЧ.14). Есть два фундамента в одной точке (дубликат). Под стойки ворот 4,5 м по ПД фундамент Ø350 на глубину 2,5 м, в модели все Ø250.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Во всех трёх моделях:</w:t>
      </w:r>
      <w:r>
        <w:t xml:space="preserve"> </w:t>
      </w:r>
      <w:r>
        <w:t xml:space="preserve">щебёночная подготовка под фундаментами стоек 200 мм, по ПД 100 мм. Шифр у профилей ворот КМ_Ч2 (8 эл.) — «4.1.2. 1439-2025-3-ИЛО1.3» (3 этап). Имя файла КМ_Ч1 — «1439-2025-5_</w:t>
      </w:r>
      <w:r>
        <w:rPr>
          <w:bCs/>
          <w:b/>
        </w:rPr>
        <w:t xml:space="preserve">-</w:t>
      </w:r>
      <w:r>
        <w:t xml:space="preserve">Круглое поле…» (лишнее тире).</w:t>
      </w:r>
    </w:p>
    <w:p>
      <w:pPr>
        <w:pStyle w:val="Figure"/>
      </w:pPr>
      <w:r>
        <w:drawing>
          <wp:inline>
            <wp:extent cx="4877418" cy="60479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2_ограждение_шаг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18" cy="6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состав-моделей-кр-против-пд-и-вор"/>
    <w:p>
      <w:pPr>
        <w:pStyle w:val="Heading2"/>
      </w:pPr>
      <w:r>
        <w:t xml:space="preserve">2. Состав моделей КР против ПД и ВОР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Нет моделей:</w:t>
      </w:r>
      <w:r>
        <w:t xml:space="preserve"> </w:t>
      </w:r>
      <w:r>
        <w:t xml:space="preserve">выпуск очищенных стоков (ГЧ.08–09, ТЧ 7.7, ВОР р.7); фундамент под ёмкость для ВОС 2,6×8,7×0,4 м (ГЧ.25, ТЧ 7.16, ВОР р.20); расходомер — плита 3,0×3,0×0,4 есть в ВОР (р.8), листа в ПД нет — уточнить.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Фундаменты КТП</w:t>
      </w:r>
      <w:r>
        <w:t xml:space="preserve"> </w:t>
      </w:r>
      <w:r>
        <w:t xml:space="preserve">(КЖ0_Ч10, Ч11 — лежни ЛЖ-44 на щебне): в ИЛО3 и ВОР КР их нет, шифр в модели «…ИЛО3». Указать основание (раздел, лист).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Камеры:</w:t>
      </w:r>
      <w:r>
        <w:t xml:space="preserve"> </w:t>
      </w:r>
      <w:r>
        <w:t xml:space="preserve">модели и листы ГЧ.12–13 — «В3-1/В3-2», ведомость ГЧ.01, ТЧ п.7.10 и ВОР — «В1-1/В1-2». Привести к одному по решению ГИП.</w:t>
      </w:r>
    </w:p>
    <w:p>
      <w:pPr>
        <w:pStyle w:val="Figure"/>
      </w:pPr>
      <w:r>
        <w:drawing>
          <wp:inline>
            <wp:extent cx="9612000" cy="35084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5_состав_КР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50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43" w:name="комплект-кр"/>
    <w:p>
      <w:pPr>
        <w:pStyle w:val="Heading2"/>
      </w:pPr>
      <w:r>
        <w:t xml:space="preserve">3. Комплект КР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Бункер_1 (КМ_Ч4) стоит на отметке 13,95–16,55</w:t>
      </w:r>
      <w:r>
        <w:t xml:space="preserve"> </w:t>
      </w:r>
      <w:r>
        <w:t xml:space="preserve">— на 133 м ниже площадки. Бункер_2 (КМ_Ч5) — 147,40–150,00. Поставить бункер_1 на рельеф. В обеих моделях стойка разбита на 26 частей; листы крепления названы «Заземляющее устройство (полоса/уголок/круг)»; фундамент стойки назван «…переездного светофора…».</w:t>
      </w:r>
    </w:p>
    <w:p>
      <w:pPr>
        <w:pStyle w:val="Figure"/>
      </w:pPr>
      <w:r>
        <w:drawing>
          <wp:inline>
            <wp:extent cx="9612000" cy="3515272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3_бункер_отметка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35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Фундамент бытового модуля</w:t>
      </w:r>
      <w:r>
        <w:t xml:space="preserve"> </w:t>
      </w:r>
      <w:r>
        <w:t xml:space="preserve">(КЖ0_Ч6): толщина плиты 0,30 м, по ПД (ТЧ п.7.4) и ВОР — 0,40 м.</w:t>
      </w:r>
    </w:p>
    <w:p>
      <w:pPr>
        <w:pStyle w:val="Figure"/>
      </w:pPr>
      <w:r>
        <w:drawing>
          <wp:inline>
            <wp:extent cx="9612000" cy="443559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4_бытовой_кровля_плита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4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Имя элементов «Фундамент металлический переездного светофора 12843-00-00А …»</w:t>
      </w:r>
      <w:r>
        <w:t xml:space="preserve"> </w:t>
      </w:r>
      <w:r>
        <w:t xml:space="preserve">— то же замечание, что по 4 этапу: стоит у плит, фундаментов стоек ограждения и бункеров в 21 моделях. Атрибут EIR «Name» верный — имя элемента привести к нему. В «Name» плит МК АТС (КЖ0_Ч8) и станции биоочистки (КЖ0_Ч17) — «Плита … 300мм», фактическая толщина 400 мм. Атрибуты «Длина», «Ширина» у плит не заполнены (EIR табл. А1). У КЖ0_Ч14 в атрибуте «Уровень» — «Этаж 01», а элемент лежит на уровне «Фундамент».</w:t>
      </w:r>
    </w:p>
    <w:p>
      <w:pPr>
        <w:pStyle w:val="FirstParagraph"/>
      </w:pPr>
      <w:r>
        <w:t xml:space="preserve">Модели: 1439-2025-5_-Круглое поле_5_КР_КМ_Ч1_Ограждение здания водоподготовки; 1439-2025-5_Круглое поле_5_КР_КЖ0_Ч12_Фундамент под КНС1; 1439-2025-5_Круглое поле_5_КР_КЖ0_Ч13_Фундамент под КНС2; 1439-2025-5_Круглое поле_5_КР_КЖ0_Ч14_Фундамент под емкость с УФО; 1439-2025-5_Круглое поле_5_КР_КЖ0_Ч15_Фундамент под комплексную систему очистки Rainpark OLPS-2000-40; 1439-2025-5_Круглое поле_5_КР_КЖ0_Ч17_Фундамент под станцию биологической очистки; 1439-2025-5_Круглое поле_5_КР_КЖ0_Ч1_Фундамент под туалетный модуль_1; 1439-2025-5_Круглое поле_5_КР_КЖ0_Ч2_Фундамент под туалетный модуль_2; 1439-2025-5_Круглое поле_5_КР_КЖ0_Ч3_Фундамент Фм-1 под модульную компрессорную; 1439-2025-5_Круглое поле_5_КР_КЖ0_Ч4_Фундамент Фм-2 под модульную компрессорную; 1439-2025-5_Круглое поле_5_КР_КЖ0_Ч5_Фундамент под кладовую; 1439-2025-5_Круглое поле_5_КР_КЖ0_Ч6_Фундамент под бытовой модуль; 1439-2025-5_Круглое поле_5_КР_КЖ0_Ч7_Фундамент под здание водоподготовки; 1439-2025-5_Круглое поле_5_КР_КЖ0_Ч8_Фундамент под здание МК АТС; 1439-2025-5_Круглое поле_5_КР_КЖ0_Ч9_Фундамент под пункт обогрева; 1439-2025-5_Круглое поле_5_КР_КЖ_Ч1_Конструкция камеры В3-1; 1439-2025-5_Круглое поле_5_КР_КЖ_Ч2_Конструкция камеры В3-2; 1439-2025-5_Круглое поле_5_КР_КМ_Ч2_Ограждение емкостей участки 1-4; 1439-2025-5_Круглое поле_5_КР_КМ_Ч3_Ограждение камер участки 9-12; 1439-2025-5_Круглое поле_5_КР_КМ_Ч4_Фундамент под приемный бункер для перевозочных документов_1; 1439-2025-5_Круглое поле_5_КР_КМ_Ч5_Фундамент под приемный бункер для перевозочных документов_2.</w:t>
      </w:r>
    </w:p>
    <w:p>
      <w:pPr>
        <w:pStyle w:val="Figure"/>
      </w:pPr>
      <w:r>
        <w:drawing>
          <wp:inline>
            <wp:extent cx="9612000" cy="1838564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7_имя_светофора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183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Камеры В3-1, В3-2</w:t>
      </w:r>
      <w:r>
        <w:t xml:space="preserve"> </w:t>
      </w:r>
      <w:r>
        <w:t xml:space="preserve">(КЖ_Ч1, Ч2): подготовка «песчано-щебеночная 300мм» одним элементом — по ПД щебень 0,2 м и песок 0,1 м, разные слои и материалы; люки названы «Светопрозрачная конструкция / Дверь» (класс Proxy); уголки 50×5 — «Заземляющее устройство». В КЖ_Ч1 у стен материал «Бетон» без класса (в КЖ_Ч2 — В25); опечатка «Плита</w:t>
      </w:r>
      <w:r>
        <w:t xml:space="preserve"> </w:t>
      </w:r>
      <w:r>
        <w:rPr>
          <w:bCs/>
          <w:b/>
        </w:rPr>
        <w:t xml:space="preserve">беонная</w:t>
      </w:r>
      <w:r>
        <w:t xml:space="preserve">», «Подготовка</w:t>
      </w:r>
      <w:r>
        <w:t xml:space="preserve"> </w:t>
      </w:r>
      <w:r>
        <w:rPr>
          <w:bCs/>
          <w:b/>
        </w:rPr>
        <w:t xml:space="preserve">беонная</w:t>
      </w:r>
      <w:r>
        <w:t xml:space="preserve">».</w:t>
      </w:r>
    </w:p>
    <w:p>
      <w:pPr>
        <w:pStyle w:val="Figure"/>
      </w:pPr>
      <w:r>
        <w:drawing>
          <wp:inline>
            <wp:extent cx="9612000" cy="423818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6_камера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423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Контейнер для инструментов</w:t>
      </w:r>
      <w:r>
        <w:t xml:space="preserve"> </w:t>
      </w:r>
      <w:r>
        <w:t xml:space="preserve">(КЖ0_Ч16): по ПД под щебень укладывается геотекстиль 300 г/м² — в модели нет.</w:t>
      </w:r>
    </w:p>
    <w:bookmarkEnd w:id="43"/>
    <w:bookmarkStart w:id="44" w:name="комплект-ар"/>
    <w:p>
      <w:pPr>
        <w:pStyle w:val="Heading2"/>
      </w:pPr>
      <w:r>
        <w:t xml:space="preserve">4. Комплект АР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Бытовой модуль</w:t>
      </w:r>
      <w:r>
        <w:t xml:space="preserve"> </w:t>
      </w:r>
      <w:r>
        <w:t xml:space="preserve">(АР_Ч6): кровля смоделирована плоской панелью (верх +2,80); по ПД (ГЧ.09, ТЧ) — общая двускатная металлическая кровля, конёк +4,29, карниз +2,89. Смоделировать кровлю (см. рис. выше).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Отливы и подоконники</w:t>
      </w:r>
      <w:r>
        <w:t xml:space="preserve"> </w:t>
      </w:r>
      <w:r>
        <w:t xml:space="preserve">без «Шифр проекта» (АР_Ч1, Ч2, Ч6, Ч9), выгружены классом IfcWindow; опечатка «Отлив металл</w:t>
      </w:r>
      <w:r>
        <w:rPr>
          <w:bCs/>
          <w:b/>
        </w:rPr>
        <w:t xml:space="preserve">т</w:t>
      </w:r>
      <w:r>
        <w:t xml:space="preserve">ческий» (Ч6). «Потолок подвесной Армстронг» без «Material» (Ч1, Ч2).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Помещения:</w:t>
      </w:r>
      <w:r>
        <w:t xml:space="preserve"> </w:t>
      </w:r>
      <w:r>
        <w:t xml:space="preserve">ПОМ есть для 7 зданий из 9 — нет для МК АТС и здания водоподготовки. Во всех ПОМ у IfcSpace вместо «Name» заведено «Имя», «Material» нет. Моделей мебели и оборудования (АИ) нет.</w:t>
      </w:r>
    </w:p>
    <w:p>
      <w:pPr>
        <w:numPr>
          <w:ilvl w:val="0"/>
          <w:numId w:val="1009"/>
        </w:numPr>
        <w:pStyle w:val="Compact"/>
      </w:pPr>
      <w:r>
        <w:t xml:space="preserve">Пункт обогрева: в ТЧ ИЛО2 п.3.7 — «два мобильных здания 6,06×2,44», на листах ГЧ.13–14 и в модели — один блок 6,06×2,44. Уточнить у ГИП (модель соответствует листам).</w:t>
      </w:r>
    </w:p>
    <w:bookmarkEnd w:id="44"/>
    <w:bookmarkStart w:id="48" w:name="структура-модели-и-имена-файлов"/>
    <w:p>
      <w:pPr>
        <w:pStyle w:val="Heading2"/>
      </w:pPr>
      <w:r>
        <w:t xml:space="preserve">5. Структура модели и имена файлов</w:t>
      </w:r>
    </w:p>
    <w:p>
      <w:pPr>
        <w:numPr>
          <w:ilvl w:val="0"/>
          <w:numId w:val="1010"/>
        </w:numPr>
        <w:pStyle w:val="Compact"/>
      </w:pPr>
      <w:r>
        <w:t xml:space="preserve">Требуется: Project → Site «DefaultSite» → Building «DefaultBuilding» → Building Storey → группы элементов. Группы сделаны верно. Не соответствует: в АР и КР площадка «Площадка», здание «Здание»; в ОС и ПОМ проект «Номер проекта», площадка «Default», здание «Наименование здания». Уровни: КЖ0_Ч10, Ч11, Ч16 и КМ — «Этаж 01», остальные КЖ0/КЖ — «Фундамент»; в ОС камер уровень «Верх стен» — в EIR нет. Сетка осей в ОС и ПОМ продублирована на уровнях «Этаж 01» и «Кровля».</w:t>
      </w:r>
    </w:p>
    <w:p>
      <w:pPr>
        <w:numPr>
          <w:ilvl w:val="0"/>
          <w:numId w:val="1010"/>
        </w:numPr>
        <w:pStyle w:val="Compact"/>
      </w:pPr>
      <w:r>
        <w:t xml:space="preserve">Имена файлов по EIR п.3.5: без пробелов, только заглавная кириллица, цифры и тире, блоки Шифр_Объект_Этап_Строение_Раздел_Часть. Сейчас в именах пробелы и строчные буквы («Круглое поле», «Туалетный модуль»), нет блока «Строение». Схему имён согласовать в BEP и выдержать во всех частях.</w:t>
      </w:r>
    </w:p>
    <w:p>
      <w:pPr>
        <w:pStyle w:val="Figure"/>
      </w:pPr>
      <w:r>
        <w:drawing>
          <wp:inline>
            <wp:extent cx="9612000" cy="17004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0/-home-user-Cloude/f5b51736-07b5-508b-a485-66a45660e91c/scratchpad/b5fin/08_структура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0" cy="1700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цвета-по-eir-таблица-9"/>
    <w:p>
      <w:pPr>
        <w:pStyle w:val="Heading2"/>
      </w:pPr>
      <w:r>
        <w:t xml:space="preserve">6. Цвета — по EIR (Таблица 9)</w:t>
      </w:r>
    </w:p>
    <w:p>
      <w:pPr>
        <w:pStyle w:val="FirstParagraph"/>
      </w:pPr>
      <w:r>
        <w:t xml:space="preserve">Бетон серый 160,160,160 — у плит, подготовок, стен камер, фундаментов стоек сейчас 186,191,197. Металл рыжий 229,148,119 — у профилей ограждения, уголков, стремянок сейчас 178,178,178 и чёрный. Бункер — жёлто-чёрные полосы по ПД (ГЧ.23), оставить.</w:t>
      </w:r>
    </w:p>
    <w:bookmarkEnd w:id="49"/>
    <w:bookmarkStart w:id="50" w:name="X188f5b06b0981694e80a43417d428804012fdf2"/>
    <w:p>
      <w:pPr>
        <w:pStyle w:val="Heading2"/>
      </w:pPr>
      <w:r>
        <w:t xml:space="preserve">7. Обязательные атрибуты: Шифр проекта, Name, Material, Уровень</w:t>
      </w:r>
    </w:p>
    <w:p>
      <w:pPr>
        <w:pStyle w:val="FirstParagraph"/>
      </w:pPr>
      <w:r>
        <w:t xml:space="preserve">Должны быть у всех элементов всех моделей (группы структуры Slabs/Walls/… — не элементы). Не заполнено:</w:t>
      </w:r>
    </w:p>
    <w:tbl>
      <w:tblPr>
        <w:tblStyle w:val="Table"/>
        <w:tblW w:type="dxa" w:w="15137"/>
        <w:tblLayout w:type="fixed"/>
        <w:tblLook w:firstRow="1" w:lastRow="0" w:firstColumn="0" w:lastColumn="0" w:noHBand="0" w:noVBand="0" w:val="0020"/>
        <w:jc w:val="start"/>
      </w:tblPr>
      <w:tblGrid>
        <w:gridCol w:w="6357"/>
        <w:gridCol w:w="6357"/>
        <w:gridCol w:w="2421"/>
      </w:tblGrid>
      <w:tr>
        <w:trPr>
          <w:tblHeader w:val="true"/>
        </w:trP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Файл модели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Что не заполнено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поле_5_АР_АР_Ч2_Туалетный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«Потолок подвесной Армстронг»: нет «Material»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поле_5_АР_АР_Ч2_Туалетный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поле_5_АР_АР_Ч6_Бытовой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поле_5_АР_АР_Ч6_Бытовой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металлтческий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поле_5_АР_АР_Ч9_Модульный пункт обогрева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«Подоконник ПВХ П-»: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поле_5_АР_АР_Ч9_Модульный пункт обогрева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«Отлив металлический О-»: нет «Шифр проекта»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поле_5_АР_ПОМ_Ч21_Туалетный модуль_1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поле_5_АР_ПОМ_Ч22_Туалетный модуль_2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поле_5_АР_ПОМ_Ч23_Модульная компрессорная_1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поле_5_АР_ПОМ_Ч24_Модульная компрессорная_2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поле_5_АР_ПОМ_Ч25_Кладовая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поле_5_АР_ПОМ_Ч26_Бытовой модуль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1439-2025-5_Круглое поле_5_АР_ПОМ_Ч27_Модульный пункт обогрева</w:t>
            </w:r>
          </w:p>
        </w:tc>
        <w:tc>
          <w:tcPr>
            <w:tcW w:type="dxa" w:w="6358"/>
          </w:tcPr>
          <w:p>
            <w:pPr>
              <w:pStyle w:val="Compact"/>
              <w:jc w:val="left"/>
            </w:pPr>
            <w:r>
              <w:t xml:space="preserve">помещения IfcSpace: нет «Name», «Material» (заведено «Имя»)</w:t>
            </w:r>
          </w:p>
        </w:tc>
        <w:tc>
          <w:tcPr>
            <w:tcW w:type="dxa" w:w="242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50"/>
    <w:bookmarkEnd w:id="51"/>
    <w:sectPr>
      <w:pgSz w:orient="landscape" w:w="16838" w:h="11906"/>
      <w:pgMar w:left="850" w:right="850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2">
    <w:nsid w:val="A9920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Roman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Roman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Roman"/>
      <w:lvlText w:val="%9."/>
      <w:lvlJc w:val="left"/>
      <w:pPr>
        <w:ind w:left="6480" w:hanging="480"/>
      </w:pPr>
    </w:lvl>
  </w:abstractNum>
  <w:abstractNum w:abstractNumId="99203">
    <w:nsid w:val="A9920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Roman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Roman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abstractNum w:abstractNumId="99205">
    <w:nsid w:val="A9920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lowerLetter"/>
      <w:lvlText w:val="%2."/>
      <w:lvlJc w:val="left"/>
      <w:pPr>
        <w:ind w:left="1440" w:hanging="480"/>
      </w:pPr>
    </w:lvl>
    <w:lvl w:ilvl="2">
      <w:start w:val="5"/>
      <w:numFmt w:val="lowerRoman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lowerLetter"/>
      <w:lvlText w:val="%5."/>
      <w:lvlJc w:val="left"/>
      <w:pPr>
        <w:ind w:left="3600" w:hanging="480"/>
      </w:pPr>
    </w:lvl>
    <w:lvl w:ilvl="5">
      <w:start w:val="5"/>
      <w:numFmt w:val="lowerRoman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lowerLetter"/>
      <w:lvlText w:val="%8."/>
      <w:lvlJc w:val="left"/>
      <w:pPr>
        <w:ind w:left="5760" w:hanging="480"/>
      </w:pPr>
    </w:lvl>
    <w:lvl w:ilvl="8">
      <w:start w:val="5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2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cs="Arial" w:eastAsia="Arial"/>
      <w:b/>
      <w:bCs/>
      <w:color w:val="C0392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cs="Arial" w:eastAsia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rPr>
      <w:rFonts w:ascii="Arial" w:hAnsi="Arial" w:cs="Arial" w:eastAsia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Arial" w:hAnsi="Arial" w:cs="Arial" w:eastAsia="Arial"/>
      <w:sz w:val="22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rFonts w:ascii="Arial" w:hAnsi="Arial" w:cs="Arial" w:eastAsia="Arial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color w:val="008000"/>
      <w:rFonts w:ascii="Arial" w:hAnsi="Arial" w:cs="Arial" w:eastAsia="Arial"/>
      <w:b/>
    </w:rPr>
  </w:style>
  <w:style w:type="character" w:customStyle="1" w:styleId="CommentTok">
    <w:name w:val="CommentTok"/>
    <w:basedOn w:val="VerbatimChar"/>
    <w:rPr>
      <w:color w:val="60a0b0"/>
      <w:rFonts w:ascii="Arial" w:hAnsi="Arial" w:cs="Arial" w:eastAsia="Arial"/>
      <w:i/>
    </w:rPr>
  </w:style>
  <w:style w:type="character" w:customStyle="1" w:styleId="DocumentationTok">
    <w:name w:val="DocumentationTok"/>
    <w:basedOn w:val="VerbatimChar"/>
    <w:rPr>
      <w:color w:val="ba2121"/>
      <w:rFonts w:ascii="Arial" w:hAnsi="Arial" w:cs="Arial" w:eastAsia="Arial"/>
      <w:i/>
    </w:rPr>
  </w:style>
  <w:style w:type="character" w:customStyle="1" w:styleId="AnnotationTok">
    <w:name w:val="Annot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CommentVarTok">
    <w:name w:val="CommentVar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" w:hAnsi="Arial" w:cs="Arial" w:eastAsia="Arial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WarningTok">
    <w:name w:val="WarningTok"/>
    <w:basedOn w:val="VerbatimChar"/>
    <w:rPr>
      <w:color w:val="60a0b0"/>
      <w:rFonts w:ascii="Arial" w:hAnsi="Arial" w:cs="Arial" w:eastAsia="Arial"/>
      <w:b/>
      <w:i/>
    </w:rPr>
  </w:style>
  <w:style w:type="character" w:customStyle="1" w:styleId="AlertTok">
    <w:name w:val="AlertTok"/>
    <w:basedOn w:val="VerbatimChar"/>
    <w:rPr>
      <w:color w:val="ff0000"/>
      <w:rFonts w:ascii="Arial" w:hAnsi="Arial" w:cs="Arial" w:eastAsia="Arial"/>
      <w:b/>
    </w:rPr>
  </w:style>
  <w:style w:type="character" w:customStyle="1" w:styleId="ErrorTok">
    <w:name w:val="ErrorTok"/>
    <w:basedOn w:val="VerbatimChar"/>
    <w:rPr>
      <w:color w:val="ff0000"/>
      <w:rFonts w:ascii="Arial" w:hAnsi="Arial" w:cs="Arial" w:eastAsia="Arial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27" Type="http://schemas.openxmlformats.org/officeDocument/2006/relationships/image" Target="media/rId27.png"/><Relationship Id="rId40" Type="http://schemas.openxmlformats.org/officeDocument/2006/relationships/image" Target="media/rId40.png"/><Relationship Id="rId37" Type="http://schemas.openxmlformats.org/officeDocument/2006/relationships/image" Target="media/rId37.png"/><Relationship Id="rId45" Type="http://schemas.openxmlformats.org/officeDocument/2006/relationships/image" Target="media/rId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2026-10-23T13:21:57Z</dcterms:created>
  <dcterms:modified xsi:type="dcterms:W3CDTF">2026-10-23T13:21:57Z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