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4A801" w14:textId="77777777" w:rsidR="00BD5EA0" w:rsidRDefault="00C33D0C">
      <w:r>
        <w:t>Uitgangspunten Scheepvaartborden</w:t>
      </w:r>
    </w:p>
    <w:p w14:paraId="4E3E03EE" w14:textId="77777777" w:rsidR="00C33D0C" w:rsidRDefault="00C33D0C"/>
    <w:p w14:paraId="3C29ABEF" w14:textId="77777777" w:rsidR="00C33D0C" w:rsidRDefault="00E14508">
      <w:r>
        <w:t>Er zijn diverse afmetingen voor de borden afhankelijk van de breedte vaarweg.</w:t>
      </w:r>
    </w:p>
    <w:p w14:paraId="25B5CDF0" w14:textId="77777777" w:rsidR="00E14508" w:rsidRDefault="00E14508">
      <w:r>
        <w:t xml:space="preserve">De </w:t>
      </w:r>
      <w:r w:rsidR="00C226B2">
        <w:t xml:space="preserve">getekende </w:t>
      </w:r>
      <w:r>
        <w:t>borden hebben de afmeting</w:t>
      </w:r>
      <w:r w:rsidR="00C226B2">
        <w:t xml:space="preserve"> voor</w:t>
      </w:r>
      <w:r>
        <w:t xml:space="preserve"> vaarweg breedte 20-60m (x10)</w:t>
      </w:r>
    </w:p>
    <w:p w14:paraId="4AAA290F" w14:textId="77777777" w:rsidR="00E14508" w:rsidRDefault="00E14508">
      <w:r>
        <w:t>De borden worden met een factor 10 groter gemaakt zodat het symbool op schaal 1:1000 leesbaar is.</w:t>
      </w:r>
    </w:p>
    <w:p w14:paraId="7CF5F91D" w14:textId="77777777" w:rsidR="00E14508" w:rsidRDefault="00E14508">
      <w:r>
        <w:t xml:space="preserve">De vorm </w:t>
      </w:r>
      <w:r w:rsidR="00D81F49">
        <w:t xml:space="preserve">en naam </w:t>
      </w:r>
      <w:r>
        <w:t>van de borden is gebaseerd op de Richtlijn scheepvaarttekens 2008</w:t>
      </w:r>
      <w:r w:rsidR="00D81F49">
        <w:t>.</w:t>
      </w:r>
    </w:p>
    <w:p w14:paraId="0362D77B" w14:textId="77777777" w:rsidR="00D81F49" w:rsidRDefault="00D81F49">
      <w:r>
        <w:t>Enkel symbolen hebben een extra toevoeging</w:t>
      </w:r>
      <w:r w:rsidR="00507138">
        <w:t xml:space="preserve"> doordat deze in de RST voor enkele borden een andere afbeelding gebruiken met hetzelfde nummer</w:t>
      </w:r>
    </w:p>
    <w:p w14:paraId="01F14C99" w14:textId="77777777" w:rsidR="00BD2BC3" w:rsidRDefault="00BD2BC3"/>
    <w:p w14:paraId="211444ED" w14:textId="77777777" w:rsidR="00BD2BC3" w:rsidRDefault="00BD2BC3">
      <w:r>
        <w:t>Lettertype NLCS-RVV</w:t>
      </w:r>
    </w:p>
    <w:p w14:paraId="21A50C8C" w14:textId="77777777" w:rsidR="00130737" w:rsidRDefault="00130737" w:rsidP="00130737">
      <w:pPr>
        <w:autoSpaceDE w:val="0"/>
        <w:autoSpaceDN w:val="0"/>
        <w:adjustRightInd w:val="0"/>
        <w:spacing w:after="0" w:line="240" w:lineRule="auto"/>
        <w:rPr>
          <w:rFonts w:ascii="NLCS-ISO" w:hAnsi="NLCS-ISO" w:cs="NLCS-ISO"/>
          <w:color w:val="000000"/>
          <w:sz w:val="24"/>
          <w:szCs w:val="24"/>
        </w:rPr>
      </w:pPr>
      <w:r>
        <w:rPr>
          <w:rFonts w:ascii="NLCS-ISO" w:hAnsi="NLCS-ISO" w:cs="NLCS-ISO"/>
          <w:color w:val="000000"/>
          <w:sz w:val="24"/>
          <w:szCs w:val="24"/>
        </w:rPr>
        <w:t>KLEUREN</w:t>
      </w:r>
      <w:r w:rsidR="00540525">
        <w:rPr>
          <w:rFonts w:ascii="NLCS-ISO" w:hAnsi="NLCS-ISO" w:cs="NLCS-ISO"/>
          <w:color w:val="000000"/>
          <w:sz w:val="24"/>
          <w:szCs w:val="24"/>
        </w:rPr>
        <w:t xml:space="preserve"> NEN3381</w:t>
      </w:r>
    </w:p>
    <w:p w14:paraId="53DF162C" w14:textId="77777777" w:rsidR="00130737" w:rsidRDefault="00130737" w:rsidP="00130737">
      <w:pPr>
        <w:autoSpaceDE w:val="0"/>
        <w:autoSpaceDN w:val="0"/>
        <w:adjustRightInd w:val="0"/>
        <w:spacing w:after="0" w:line="240" w:lineRule="auto"/>
        <w:rPr>
          <w:rFonts w:ascii="NLCS-ISO" w:hAnsi="NLCS-ISO" w:cs="NLCS-ISO"/>
          <w:color w:val="000000"/>
          <w:sz w:val="24"/>
          <w:szCs w:val="24"/>
        </w:rPr>
      </w:pPr>
      <w:r>
        <w:rPr>
          <w:rFonts w:ascii="NLCS-ISO" w:hAnsi="NLCS-ISO" w:cs="NLCS-ISO"/>
          <w:color w:val="000000"/>
          <w:sz w:val="24"/>
          <w:szCs w:val="24"/>
        </w:rPr>
        <w:t>rood</w:t>
      </w:r>
      <w:r>
        <w:rPr>
          <w:rFonts w:ascii="NLCS-ISO" w:hAnsi="NLCS-ISO" w:cs="NLCS-ISO"/>
          <w:color w:val="000000"/>
          <w:sz w:val="24"/>
          <w:szCs w:val="24"/>
        </w:rPr>
        <w:tab/>
        <w:t>RAL3020</w:t>
      </w:r>
      <w:r>
        <w:rPr>
          <w:rFonts w:ascii="NLCS-ISO" w:hAnsi="NLCS-ISO" w:cs="NLCS-ISO"/>
          <w:color w:val="000000"/>
          <w:sz w:val="24"/>
          <w:szCs w:val="24"/>
        </w:rPr>
        <w:tab/>
      </w:r>
    </w:p>
    <w:p w14:paraId="3062827B" w14:textId="77777777" w:rsidR="00130737" w:rsidRDefault="00130737" w:rsidP="00130737">
      <w:pPr>
        <w:autoSpaceDE w:val="0"/>
        <w:autoSpaceDN w:val="0"/>
        <w:adjustRightInd w:val="0"/>
        <w:spacing w:after="0" w:line="240" w:lineRule="auto"/>
        <w:rPr>
          <w:rFonts w:ascii="NLCS-ISO" w:hAnsi="NLCS-ISO" w:cs="NLCS-ISO"/>
          <w:color w:val="000000"/>
          <w:sz w:val="24"/>
          <w:szCs w:val="24"/>
        </w:rPr>
      </w:pPr>
      <w:r>
        <w:rPr>
          <w:rFonts w:ascii="NLCS-ISO" w:hAnsi="NLCS-ISO" w:cs="NLCS-ISO"/>
          <w:color w:val="000000"/>
          <w:sz w:val="24"/>
          <w:szCs w:val="24"/>
        </w:rPr>
        <w:t>wit</w:t>
      </w:r>
      <w:r>
        <w:rPr>
          <w:rFonts w:ascii="NLCS-ISO" w:hAnsi="NLCS-ISO" w:cs="NLCS-ISO"/>
          <w:color w:val="000000"/>
          <w:sz w:val="24"/>
          <w:szCs w:val="24"/>
        </w:rPr>
        <w:tab/>
        <w:t>RAL9016</w:t>
      </w:r>
    </w:p>
    <w:p w14:paraId="4E34831F" w14:textId="77777777" w:rsidR="00130737" w:rsidRDefault="00130737" w:rsidP="00130737">
      <w:pPr>
        <w:autoSpaceDE w:val="0"/>
        <w:autoSpaceDN w:val="0"/>
        <w:adjustRightInd w:val="0"/>
        <w:spacing w:after="0" w:line="240" w:lineRule="auto"/>
        <w:rPr>
          <w:rFonts w:ascii="NLCS-ISO" w:hAnsi="NLCS-ISO" w:cs="NLCS-ISO"/>
          <w:color w:val="000000"/>
          <w:sz w:val="24"/>
          <w:szCs w:val="24"/>
        </w:rPr>
      </w:pPr>
      <w:r>
        <w:rPr>
          <w:rFonts w:ascii="NLCS-ISO" w:hAnsi="NLCS-ISO" w:cs="NLCS-ISO"/>
          <w:color w:val="000000"/>
          <w:sz w:val="24"/>
          <w:szCs w:val="24"/>
        </w:rPr>
        <w:t>blauw</w:t>
      </w:r>
      <w:r>
        <w:rPr>
          <w:rFonts w:ascii="NLCS-ISO" w:hAnsi="NLCS-ISO" w:cs="NLCS-ISO"/>
          <w:color w:val="000000"/>
          <w:sz w:val="24"/>
          <w:szCs w:val="24"/>
        </w:rPr>
        <w:tab/>
        <w:t>RAL5017</w:t>
      </w:r>
    </w:p>
    <w:p w14:paraId="4F971F51" w14:textId="77777777" w:rsidR="00130737" w:rsidRPr="00130737" w:rsidRDefault="00130737" w:rsidP="00130737">
      <w:pPr>
        <w:autoSpaceDE w:val="0"/>
        <w:autoSpaceDN w:val="0"/>
        <w:adjustRightInd w:val="0"/>
        <w:spacing w:after="0" w:line="240" w:lineRule="auto"/>
        <w:rPr>
          <w:rFonts w:ascii="NLCS-ISO" w:hAnsi="NLCS-ISO" w:cs="NLCS-ISO"/>
          <w:color w:val="000000"/>
          <w:sz w:val="24"/>
          <w:szCs w:val="24"/>
          <w:lang w:val="en-US"/>
        </w:rPr>
      </w:pPr>
      <w:r w:rsidRPr="00130737">
        <w:rPr>
          <w:rFonts w:ascii="NLCS-ISO" w:hAnsi="NLCS-ISO" w:cs="NLCS-ISO"/>
          <w:color w:val="000000"/>
          <w:sz w:val="24"/>
          <w:szCs w:val="24"/>
          <w:lang w:val="en-US"/>
        </w:rPr>
        <w:t>grijs</w:t>
      </w:r>
      <w:r w:rsidRPr="00130737">
        <w:rPr>
          <w:rFonts w:ascii="NLCS-ISO" w:hAnsi="NLCS-ISO" w:cs="NLCS-ISO"/>
          <w:color w:val="000000"/>
          <w:sz w:val="24"/>
          <w:szCs w:val="24"/>
          <w:lang w:val="en-US"/>
        </w:rPr>
        <w:tab/>
        <w:t>RAL7042 of RAL7043</w:t>
      </w:r>
    </w:p>
    <w:p w14:paraId="73994535" w14:textId="77777777" w:rsidR="00130737" w:rsidRPr="00130737" w:rsidRDefault="00130737" w:rsidP="00130737">
      <w:pPr>
        <w:autoSpaceDE w:val="0"/>
        <w:autoSpaceDN w:val="0"/>
        <w:adjustRightInd w:val="0"/>
        <w:spacing w:after="0" w:line="240" w:lineRule="auto"/>
        <w:rPr>
          <w:rFonts w:ascii="NLCS-ISO" w:hAnsi="NLCS-ISO" w:cs="NLCS-ISO"/>
          <w:color w:val="000000"/>
          <w:sz w:val="24"/>
          <w:szCs w:val="24"/>
          <w:lang w:val="en-US"/>
        </w:rPr>
      </w:pPr>
      <w:r w:rsidRPr="00130737">
        <w:rPr>
          <w:rFonts w:ascii="NLCS-ISO" w:hAnsi="NLCS-ISO" w:cs="NLCS-ISO"/>
          <w:color w:val="000000"/>
          <w:sz w:val="24"/>
          <w:szCs w:val="24"/>
          <w:lang w:val="en-US"/>
        </w:rPr>
        <w:t>zwart</w:t>
      </w:r>
      <w:r w:rsidRPr="00130737">
        <w:rPr>
          <w:rFonts w:ascii="NLCS-ISO" w:hAnsi="NLCS-ISO" w:cs="NLCS-ISO"/>
          <w:color w:val="000000"/>
          <w:sz w:val="24"/>
          <w:szCs w:val="24"/>
          <w:lang w:val="en-US"/>
        </w:rPr>
        <w:tab/>
        <w:t>RAL9005 of RAL9017</w:t>
      </w:r>
    </w:p>
    <w:p w14:paraId="5A00F9D7" w14:textId="77777777" w:rsidR="00130737" w:rsidRDefault="00130737" w:rsidP="00130737">
      <w:pPr>
        <w:autoSpaceDE w:val="0"/>
        <w:autoSpaceDN w:val="0"/>
        <w:adjustRightInd w:val="0"/>
        <w:spacing w:after="0" w:line="240" w:lineRule="auto"/>
        <w:rPr>
          <w:rFonts w:ascii="NLCS-ISO" w:hAnsi="NLCS-ISO" w:cs="NLCS-ISO"/>
          <w:color w:val="000000"/>
          <w:sz w:val="24"/>
          <w:szCs w:val="24"/>
        </w:rPr>
      </w:pPr>
      <w:r>
        <w:rPr>
          <w:rFonts w:ascii="NLCS-ISO" w:hAnsi="NLCS-ISO" w:cs="NLCS-ISO"/>
          <w:color w:val="000000"/>
          <w:sz w:val="24"/>
          <w:szCs w:val="24"/>
        </w:rPr>
        <w:t>geel</w:t>
      </w:r>
      <w:r>
        <w:rPr>
          <w:rFonts w:ascii="NLCS-ISO" w:hAnsi="NLCS-ISO" w:cs="NLCS-ISO"/>
          <w:color w:val="000000"/>
          <w:sz w:val="24"/>
          <w:szCs w:val="24"/>
        </w:rPr>
        <w:tab/>
        <w:t>RAL1023 (verke</w:t>
      </w:r>
      <w:r w:rsidR="00BD2BC3">
        <w:rPr>
          <w:rFonts w:ascii="NLCS-ISO" w:hAnsi="NLCS-ISO" w:cs="NLCS-ISO"/>
          <w:color w:val="000000"/>
          <w:sz w:val="24"/>
          <w:szCs w:val="24"/>
        </w:rPr>
        <w:t>e</w:t>
      </w:r>
      <w:r>
        <w:rPr>
          <w:rFonts w:ascii="NLCS-ISO" w:hAnsi="NLCS-ISO" w:cs="NLCS-ISO"/>
          <w:color w:val="000000"/>
          <w:sz w:val="24"/>
          <w:szCs w:val="24"/>
        </w:rPr>
        <w:t>rsgeel)</w:t>
      </w:r>
    </w:p>
    <w:p w14:paraId="727D830C" w14:textId="77777777" w:rsidR="00130737" w:rsidRDefault="00130737" w:rsidP="00130737">
      <w:pPr>
        <w:autoSpaceDE w:val="0"/>
        <w:autoSpaceDN w:val="0"/>
        <w:adjustRightInd w:val="0"/>
        <w:spacing w:after="0" w:line="240" w:lineRule="auto"/>
        <w:rPr>
          <w:rFonts w:ascii="NLCS-ISO" w:hAnsi="NLCS-ISO" w:cs="NLCS-ISO"/>
          <w:color w:val="000000"/>
          <w:sz w:val="24"/>
          <w:szCs w:val="24"/>
        </w:rPr>
      </w:pPr>
      <w:r>
        <w:rPr>
          <w:rFonts w:ascii="NLCS-ISO" w:hAnsi="NLCS-ISO" w:cs="NLCS-ISO"/>
          <w:color w:val="000000"/>
          <w:sz w:val="24"/>
          <w:szCs w:val="24"/>
        </w:rPr>
        <w:t>groen</w:t>
      </w:r>
      <w:r>
        <w:rPr>
          <w:rFonts w:ascii="NLCS-ISO" w:hAnsi="NLCS-ISO" w:cs="NLCS-ISO"/>
          <w:color w:val="000000"/>
          <w:sz w:val="24"/>
          <w:szCs w:val="24"/>
        </w:rPr>
        <w:tab/>
        <w:t>RAL6024</w:t>
      </w:r>
    </w:p>
    <w:p w14:paraId="54194A4F" w14:textId="77777777" w:rsidR="00130737" w:rsidRDefault="00130737" w:rsidP="00130737">
      <w:pPr>
        <w:autoSpaceDE w:val="0"/>
        <w:autoSpaceDN w:val="0"/>
        <w:adjustRightInd w:val="0"/>
        <w:spacing w:after="0" w:line="240" w:lineRule="auto"/>
        <w:rPr>
          <w:rFonts w:ascii="NLCS-ISO" w:hAnsi="NLCS-ISO" w:cs="NLCS-ISO"/>
          <w:color w:val="000000"/>
          <w:sz w:val="24"/>
          <w:szCs w:val="24"/>
        </w:rPr>
      </w:pPr>
      <w:r>
        <w:rPr>
          <w:rFonts w:ascii="NLCS-ISO" w:hAnsi="NLCS-ISO" w:cs="NLCS-ISO"/>
          <w:color w:val="000000"/>
          <w:sz w:val="24"/>
          <w:szCs w:val="24"/>
        </w:rPr>
        <w:t>oranje</w:t>
      </w:r>
      <w:r>
        <w:rPr>
          <w:rFonts w:ascii="NLCS-ISO" w:hAnsi="NLCS-ISO" w:cs="NLCS-ISO"/>
          <w:color w:val="000000"/>
          <w:sz w:val="24"/>
          <w:szCs w:val="24"/>
        </w:rPr>
        <w:tab/>
        <w:t>RAL2009</w:t>
      </w:r>
    </w:p>
    <w:p w14:paraId="6944A8B7" w14:textId="77777777" w:rsidR="00130737" w:rsidRDefault="00130737"/>
    <w:p w14:paraId="0A096387" w14:textId="77777777" w:rsidR="00BD2BC3" w:rsidRDefault="00BD2BC3">
      <w:r>
        <w:rPr>
          <w:noProof/>
        </w:rPr>
        <w:drawing>
          <wp:inline distT="0" distB="0" distL="0" distR="0" wp14:anchorId="0BA90F47" wp14:editId="77164E32">
            <wp:extent cx="4657725" cy="3276600"/>
            <wp:effectExtent l="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2B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LCS-ISO">
    <w:altName w:val="Calibri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D0C"/>
    <w:rsid w:val="00130737"/>
    <w:rsid w:val="002B3089"/>
    <w:rsid w:val="003B06FA"/>
    <w:rsid w:val="00507138"/>
    <w:rsid w:val="00540525"/>
    <w:rsid w:val="00BD2BC3"/>
    <w:rsid w:val="00BD5EA0"/>
    <w:rsid w:val="00C226B2"/>
    <w:rsid w:val="00C33D0C"/>
    <w:rsid w:val="00D81F49"/>
    <w:rsid w:val="00E1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3B5CB"/>
  <w15:chartTrackingRefBased/>
  <w15:docId w15:val="{39C10073-1C3F-4864-9E75-9308B9F9B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D15C0AEAD4CE4F907D212386CD2944" ma:contentTypeVersion="11" ma:contentTypeDescription="Een nieuw document maken." ma:contentTypeScope="" ma:versionID="dc8134f21556a42664002388719c03cd">
  <xsd:schema xmlns:xsd="http://www.w3.org/2001/XMLSchema" xmlns:xs="http://www.w3.org/2001/XMLSchema" xmlns:p="http://schemas.microsoft.com/office/2006/metadata/properties" xmlns:ns2="d1e949ab-f258-42a3-afab-736f82a00f11" targetNamespace="http://schemas.microsoft.com/office/2006/metadata/properties" ma:root="true" ma:fieldsID="8fefff5b4b5931b4aba97d8cbd33cb73" ns2:_="">
    <xsd:import namespace="d1e949ab-f258-42a3-afab-736f82a00f11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e949ab-f258-42a3-afab-736f82a00f11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Afbeeldingtags" ma:readOnly="false" ma:fieldId="{5cf76f15-5ced-4ddc-b409-7134ff3c332f}" ma:taxonomyMulti="true" ma:sspId="a80e0af8-415e-481d-8b31-c33fc10961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d1e949ab-f258-42a3-afab-736f82a00f11" xsi:nil="true"/>
    <lcf76f155ced4ddcb4097134ff3c332f xmlns="d1e949ab-f258-42a3-afab-736f82a00f1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2E96360-5098-40F6-B222-18E8F00876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905146-6007-4EE0-A016-B9A360F8DC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e949ab-f258-42a3-afab-736f82a00f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24AA56-D99B-4393-AD5B-43FD5AB36085}">
  <ds:schemaRefs>
    <ds:schemaRef ds:uri="http://schemas.microsoft.com/office/2006/metadata/properties"/>
    <ds:schemaRef ds:uri="http://schemas.microsoft.com/office/infopath/2007/PartnerControls"/>
    <ds:schemaRef ds:uri="d1e949ab-f258-42a3-afab-736f82a00f1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Boelens, Erik</dc:creator>
  <cp:keywords/>
  <dc:description/>
  <cp:lastModifiedBy>Elisabeth de Vries</cp:lastModifiedBy>
  <cp:revision>2</cp:revision>
  <dcterms:created xsi:type="dcterms:W3CDTF">2024-08-02T15:02:00Z</dcterms:created>
  <dcterms:modified xsi:type="dcterms:W3CDTF">2024-08-02T15:02:00Z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0x010100FAD15C0AEAD4CE4F907D212386CD2944</vt:lpwstr>
  </property>
  <property fmtid="{D5CDD505-2E9C-101B-9397-08002B2CF9AE}" pid="3" name="Order">
    <vt:r8>12200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