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4400" w:type="dxa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0"/>
      </w:tblGrid>
      <w:tr>
        <w:tc>
          <w:tcPr>
            <w:tcW w:w="14400" w:type="dxa"/>
            <w:vAlign w:val="top"/>
            <w:shd w:fill="171A15"/>
            <w:tcMar>
              <w:top w:w="160" w:type="dxa"/>
              <w:left w:w="180" w:type="dxa"/>
              <w:bottom w:w="160" w:type="dxa"/>
              <w:right w:w="180" w:type="dxa"/>
            </w:tcMar>
            <w:tcBorders>
              <w:top w:val="single" w:sz="4" w:color="171A15"/>
              <w:left w:val="single" w:sz="4" w:color="171A15"/>
              <w:bottom w:val="single" w:sz="4" w:color="171A15"/>
              <w:right w:val="single" w:sz="4" w:color="171A15"/>
            </w:tcBorders>
          </w:tcPr>
          <w:p>
            <w:pPr>
              <w:spacing w:before="0" w:after="90"/>
            </w:pPr>
            <w:r>
              <w:rPr>
                <w:sz w:val="16"/>
                <w:color w:val="F28C38"/>
                <w:b/>
              </w:rPr>
              <w:t>PROJECT OVERVIEW</w:t>
            </w:r>
          </w:p>
          <w:p>
            <w:pPr>
              <w:spacing w:before="0" w:after="120"/>
            </w:pPr>
            <w:r>
              <w:rPr>
                <w:sz w:val="42"/>
                <w:color w:val="F9F2E5"/>
                <w:b/>
              </w:rPr>
              <w:t>MarketFlow</w:t>
            </w:r>
          </w:p>
          <w:p>
            <w:pPr>
              <w:spacing w:before="0" w:after="180"/>
            </w:pPr>
            <w:r>
              <w:rPr>
                <w:sz w:val="20"/>
                <w:color w:val="D5CDBD"/>
              </w:rPr>
              <w:t>A cash-flow tracker for Nigerian market traders, built with Django and React.</w:t>
            </w:r>
          </w:p>
          <w:tbl>
            <w:tblPr>
              <w:tblW w:w="14400" w:type="dxa"/>
              <w:tblInd w:w="0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3400"/>
              <w:gridCol w:w="3400"/>
              <w:gridCol w:w="3400"/>
              <w:gridCol w:w="3400"/>
            </w:tblGrid>
            <w:tr>
              <w:tc>
                <w:tcPr>
                  <w:tcW w:w="3400" w:type="dxa"/>
                  <w:vAlign w:val="center"/>
                  <w:shd w:fill="272C24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E6D7C8"/>
                    <w:left w:val="single" w:sz="4" w:color="E6D7C8"/>
                    <w:bottom w:val="single" w:sz="4" w:color="E6D7C8"/>
                    <w:right w:val="single" w:sz="4" w:color="E6D7C8"/>
                  </w:tcBorders>
                </w:tcPr>
                <w:p>
                  <w:pPr>
                    <w:spacing w:before="0" w:after="40"/>
                  </w:pPr>
                  <w:r>
                    <w:rPr>
                      <w:sz w:val="16"/>
                      <w:color w:val="F28C38"/>
                      <w:b/>
                    </w:rPr>
                    <w:t>FRONTEND</w:t>
                  </w:r>
                </w:p>
                <w:p>
                  <w:pPr>
                    <w:spacing w:before="0" w:after="40"/>
                  </w:pPr>
                  <w:r>
                    <w:rPr>
                      <w:sz w:val="34"/>
                      <w:color w:val="171A15"/>
                      <w:b/>
                    </w:rPr>
                    <w:t>React 19</w:t>
                  </w:r>
                </w:p>
                <w:p>
                  <w:pPr>
                    <w:spacing w:before="0" w:after="0"/>
                  </w:pPr>
                  <w:r>
                    <w:rPr>
                      <w:sz w:val="16"/>
                      <w:color w:val="555555"/>
                    </w:rPr>
                    <w:t>Vite, TypeScript, Tailwind</w:t>
                  </w:r>
                </w:p>
              </w:tc>
              <w:tc>
                <w:tcPr>
                  <w:tcW w:w="3400" w:type="dxa"/>
                  <w:vAlign w:val="center"/>
                  <w:shd w:fill="272C24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E6D7C8"/>
                    <w:left w:val="single" w:sz="4" w:color="E6D7C8"/>
                    <w:bottom w:val="single" w:sz="4" w:color="E6D7C8"/>
                    <w:right w:val="single" w:sz="4" w:color="E6D7C8"/>
                  </w:tcBorders>
                </w:tcPr>
                <w:p>
                  <w:pPr>
                    <w:spacing w:before="0" w:after="40"/>
                  </w:pPr>
                  <w:r>
                    <w:rPr>
                      <w:sz w:val="16"/>
                      <w:color w:val="F28C38"/>
                      <w:b/>
                    </w:rPr>
                    <w:t>BACKEND</w:t>
                  </w:r>
                </w:p>
                <w:p>
                  <w:pPr>
                    <w:spacing w:before="0" w:after="40"/>
                  </w:pPr>
                  <w:r>
                    <w:rPr>
                      <w:sz w:val="34"/>
                      <w:color w:val="171A15"/>
                      <w:b/>
                    </w:rPr>
                    <w:t>Django 6</w:t>
                  </w:r>
                </w:p>
                <w:p>
                  <w:pPr>
                    <w:spacing w:before="0" w:after="0"/>
                  </w:pPr>
                  <w:r>
                    <w:rPr>
                      <w:sz w:val="16"/>
                      <w:color w:val="555555"/>
                    </w:rPr>
                    <w:t>DRF, Simple JWT, SQLite</w:t>
                  </w:r>
                </w:p>
              </w:tc>
              <w:tc>
                <w:tcPr>
                  <w:tcW w:w="3400" w:type="dxa"/>
                  <w:vAlign w:val="center"/>
                  <w:shd w:fill="272C24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E6D7C8"/>
                    <w:left w:val="single" w:sz="4" w:color="E6D7C8"/>
                    <w:bottom w:val="single" w:sz="4" w:color="E6D7C8"/>
                    <w:right w:val="single" w:sz="4" w:color="E6D7C8"/>
                  </w:tcBorders>
                </w:tcPr>
                <w:p>
                  <w:pPr>
                    <w:spacing w:before="0" w:after="40"/>
                  </w:pPr>
                  <w:r>
                    <w:rPr>
                      <w:sz w:val="16"/>
                      <w:color w:val="F28C38"/>
                      <w:b/>
                    </w:rPr>
                    <w:t>SCOPE</w:t>
                  </w:r>
                </w:p>
                <w:p>
                  <w:pPr>
                    <w:spacing w:before="0" w:after="40"/>
                  </w:pPr>
                  <w:r>
                    <w:rPr>
                      <w:sz w:val="34"/>
                      <w:color w:val="171A15"/>
                      <w:b/>
                    </w:rPr>
                    <w:t>7 routes</w:t>
                  </w:r>
                </w:p>
                <w:p>
                  <w:pPr>
                    <w:spacing w:before="0" w:after="0"/>
                  </w:pPr>
                  <w:r>
                    <w:rPr>
                      <w:sz w:val="16"/>
                      <w:color w:val="555555"/>
                    </w:rPr>
                    <w:t>Dashboard, records, reports</w:t>
                  </w:r>
                </w:p>
              </w:tc>
              <w:tc>
                <w:tcPr>
                  <w:tcW w:w="3400" w:type="dxa"/>
                  <w:vAlign w:val="center"/>
                  <w:shd w:fill="272C24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E6D7C8"/>
                    <w:left w:val="single" w:sz="4" w:color="E6D7C8"/>
                    <w:bottom w:val="single" w:sz="4" w:color="E6D7C8"/>
                    <w:right w:val="single" w:sz="4" w:color="E6D7C8"/>
                  </w:tcBorders>
                </w:tcPr>
                <w:p>
                  <w:pPr>
                    <w:spacing w:before="0" w:after="40"/>
                  </w:pPr>
                  <w:r>
                    <w:rPr>
                      <w:sz w:val="16"/>
                      <w:color w:val="F28C38"/>
                      <w:b/>
                    </w:rPr>
                    <w:t>CURRENCY</w:t>
                  </w:r>
                </w:p>
                <w:p>
                  <w:pPr>
                    <w:spacing w:before="0" w:after="40"/>
                  </w:pPr>
                  <w:r>
                    <w:rPr>
                      <w:sz w:val="34"/>
                      <w:color w:val="171A15"/>
                      <w:b/>
                    </w:rPr>
                    <w:t>NGN</w:t>
                  </w:r>
                </w:p>
                <w:p>
                  <w:pPr>
                    <w:spacing w:before="0" w:after="0"/>
                  </w:pPr>
                  <w:r>
                    <w:rPr>
                      <w:sz w:val="16"/>
                      <w:color w:val="555555"/>
                    </w:rPr>
                    <w:t>Trader finance workflows</w:t>
                  </w:r>
                </w:p>
              </w:tc>
            </w:tr>
          </w:tbl>
          <w:p>
            <w:pPr>
              <w:spacing w:before="0" w:after="0"/>
              <w:jc w:val="right"/>
            </w:pPr>
            <w:r>
              <w:rPr>
                <w:sz w:val="14"/>
                <w:color w:val="A8AD9A"/>
              </w:rPr>
              <w:t>Generated from repository state on June 21, 2026</w:t>
            </w:r>
          </w:p>
        </w:tc>
      </w:tr>
    </w:tbl>
    <w:p>
      <w:pPr>
        <w:spacing w:before="0" w:after="120"/>
      </w:pPr>
      <w:r>
        <w:br w:type="page"/>
      </w:r>
    </w:p>
    <w:tbl>
      <w:tblPr>
        <w:tblW w:w="14400" w:type="dxa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0"/>
      </w:tblGrid>
      <w:tr>
        <w:tc>
          <w:tcPr>
            <w:tcW w:w="14400" w:type="dxa"/>
            <w:vAlign w:val="top"/>
            <w:shd w:fill="FBF8F1"/>
            <w:tcMar>
              <w:top w:w="160" w:type="dxa"/>
              <w:left w:w="180" w:type="dxa"/>
              <w:bottom w:w="160" w:type="dxa"/>
              <w:right w:w="180" w:type="dxa"/>
            </w:tcMar>
            <w:tcBorders>
              <w:top w:val="single" w:sz="4" w:color="FBF8F1"/>
              <w:left w:val="single" w:sz="4" w:color="FBF8F1"/>
              <w:bottom w:val="single" w:sz="4" w:color="FBF8F1"/>
              <w:right w:val="single" w:sz="4" w:color="FBF8F1"/>
            </w:tcBorders>
          </w:tcPr>
          <w:p>
            <w:pPr>
              <w:spacing w:before="0" w:after="90"/>
            </w:pPr>
            <w:r>
              <w:rPr>
                <w:sz w:val="16"/>
                <w:color w:val="D95F18"/>
                <w:b/>
              </w:rPr>
              <w:t>PRODUCT THESIS</w:t>
            </w:r>
          </w:p>
          <w:p>
            <w:pPr>
              <w:spacing w:before="0" w:after="120"/>
            </w:pPr>
            <w:r>
              <w:rPr>
                <w:sz w:val="42"/>
                <w:color w:val="171A15"/>
                <w:b/>
              </w:rPr>
              <w:t>MarketFlow turns daily stall activity into cash-flow clarity.</w:t>
            </w:r>
          </w:p>
          <w:p>
            <w:pPr>
              <w:spacing w:before="0" w:after="180"/>
            </w:pPr>
            <w:r>
              <w:rPr>
                <w:sz w:val="20"/>
                <w:color w:val="555555"/>
              </w:rPr>
              <w:t>The product keeps the trader experience simple while the backend roadmap preserves correct accounting boundaries.</w:t>
            </w:r>
          </w:p>
          <w:tbl>
            <w:tblPr>
              <w:tblW w:w="14400" w:type="dxa"/>
              <w:tblInd w:w="0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400"/>
              <w:gridCol w:w="4400"/>
              <w:gridCol w:w="4400"/>
            </w:tblGrid>
            <w:tr>
              <w:tc>
                <w:tcPr>
                  <w:tcW w:w="4400" w:type="dxa"/>
                  <w:vAlign w:val="center"/>
                  <w:shd w:fill="FFFFFF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D7DBE2"/>
                    <w:left w:val="single" w:sz="4" w:color="D7DBE2"/>
                    <w:bottom w:val="single" w:sz="4" w:color="D7DBE2"/>
                    <w:right w:val="single" w:sz="4" w:color="D7DBE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44"/>
                      <w:color w:val="D95F18"/>
                      <w:b/>
                    </w:rPr>
                    <w:t>1</w:t>
                  </w:r>
                </w:p>
                <w:p>
                  <w:pPr>
                    <w:spacing w:before="0" w:after="120"/>
                  </w:pPr>
                  <w:r>
                    <w:rPr>
                      <w:sz w:val="24"/>
                      <w:color w:val="1B1B18"/>
                      <w:b/>
                    </w:rPr>
                    <w:t>Record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1B1B18"/>
                    </w:rPr>
                    <w:t>Sales, expenses, inventory, business profile, and daily activity.</w:t>
                  </w:r>
                </w:p>
              </w:tc>
              <w:tc>
                <w:tcPr>
                  <w:tcW w:w="4400" w:type="dxa"/>
                  <w:vAlign w:val="center"/>
                  <w:shd w:fill="FFFFFF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D7DBE2"/>
                    <w:left w:val="single" w:sz="4" w:color="D7DBE2"/>
                    <w:bottom w:val="single" w:sz="4" w:color="D7DBE2"/>
                    <w:right w:val="single" w:sz="4" w:color="D7DBE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44"/>
                      <w:color w:val="2E8F5A"/>
                      <w:b/>
                    </w:rPr>
                    <w:t>2</w:t>
                  </w:r>
                </w:p>
                <w:p>
                  <w:pPr>
                    <w:spacing w:before="0" w:after="120"/>
                  </w:pPr>
                  <w:r>
                    <w:rPr>
                      <w:sz w:val="24"/>
                      <w:color w:val="1B1B18"/>
                      <w:b/>
                    </w:rPr>
                    <w:t>Separate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1B1B18"/>
                    </w:rPr>
                    <w:t>Cash flow, profit, capital, stock value, and tax reserve concepts.</w:t>
                  </w:r>
                </w:p>
              </w:tc>
              <w:tc>
                <w:tcPr>
                  <w:tcW w:w="4400" w:type="dxa"/>
                  <w:vAlign w:val="center"/>
                  <w:shd w:fill="FFFFFF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D7DBE2"/>
                    <w:left w:val="single" w:sz="4" w:color="D7DBE2"/>
                    <w:bottom w:val="single" w:sz="4" w:color="D7DBE2"/>
                    <w:right w:val="single" w:sz="4" w:color="D7DBE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44"/>
                      <w:color w:val="0B2545"/>
                      <w:b/>
                    </w:rPr>
                    <w:t>3</w:t>
                  </w:r>
                </w:p>
                <w:p>
                  <w:pPr>
                    <w:spacing w:before="0" w:after="120"/>
                  </w:pPr>
                  <w:r>
                    <w:rPr>
                      <w:sz w:val="24"/>
                      <w:color w:val="1B1B18"/>
                      <w:b/>
                    </w:rPr>
                    <w:t>Plan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1B1B18"/>
                    </w:rPr>
                    <w:t>Burn rate, break-even, tax estimates, trends, and forecasting.</w:t>
                  </w:r>
                </w:p>
              </w:tc>
            </w:tr>
          </w:tbl>
        </w:tc>
      </w:tr>
    </w:tbl>
    <w:p>
      <w:pPr>
        <w:spacing w:before="0" w:after="120"/>
      </w:pPr>
      <w:r>
        <w:br w:type="page"/>
      </w:r>
    </w:p>
    <w:tbl>
      <w:tblPr>
        <w:tblW w:w="14400" w:type="dxa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0"/>
      </w:tblGrid>
      <w:tr>
        <w:tc>
          <w:tcPr>
            <w:tcW w:w="14400" w:type="dxa"/>
            <w:vAlign w:val="top"/>
            <w:shd w:fill="EEF5EC"/>
            <w:tcMar>
              <w:top w:w="160" w:type="dxa"/>
              <w:left w:w="180" w:type="dxa"/>
              <w:bottom w:w="160" w:type="dxa"/>
              <w:right w:w="180" w:type="dxa"/>
            </w:tcMar>
            <w:tcBorders>
              <w:top w:val="single" w:sz="4" w:color="EEF5EC"/>
              <w:left w:val="single" w:sz="4" w:color="EEF5EC"/>
              <w:bottom w:val="single" w:sz="4" w:color="EEF5EC"/>
              <w:right w:val="single" w:sz="4" w:color="EEF5EC"/>
            </w:tcBorders>
          </w:tcPr>
          <w:p>
            <w:pPr>
              <w:spacing w:before="0" w:after="90"/>
            </w:pPr>
            <w:r>
              <w:rPr>
                <w:sz w:val="16"/>
                <w:color w:val="D95F18"/>
                <w:b/>
              </w:rPr>
              <w:t>CURRENT USER EXPERIENCE</w:t>
            </w:r>
          </w:p>
          <w:p>
            <w:pPr>
              <w:spacing w:before="0" w:after="120"/>
            </w:pPr>
            <w:r>
              <w:rPr>
                <w:sz w:val="42"/>
                <w:color w:val="171A15"/>
                <w:b/>
              </w:rPr>
              <w:t>The core trader workflow is already represented in the frontend.</w:t>
            </w:r>
          </w:p>
          <w:p>
            <w:pPr>
              <w:spacing w:before="0" w:after="180"/>
            </w:pPr>
            <w:r>
              <w:rPr>
                <w:sz w:val="20"/>
                <w:color w:val="555555"/>
              </w:rPr>
              <w:t>This Word-native mockup mirrors the implemented dashboard structure and route set.</w:t>
            </w:r>
          </w:p>
          <w:tbl>
            <w:tblPr>
              <w:tblW w:w="14400" w:type="dxa"/>
              <w:tblInd w:w="0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2600"/>
              <w:gridCol w:w="11000"/>
            </w:tblGrid>
            <w:tr>
              <w:tc>
                <w:tcPr>
                  <w:tcW w:w="2600" w:type="dxa"/>
                  <w:vAlign w:val="top"/>
                  <w:shd w:fill="20261D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20261D"/>
                    <w:left w:val="single" w:sz="4" w:color="20261D"/>
                    <w:bottom w:val="single" w:sz="4" w:color="20261D"/>
                    <w:right w:val="single" w:sz="4" w:color="20261D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2"/>
                      <w:color w:val="F9F2E5"/>
                      <w:b/>
                    </w:rPr>
                    <w:t>MarketFlow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D5CDBD"/>
                    </w:rPr>
                    <w:t>Dashboard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D5CDBD"/>
                    </w:rPr>
                    <w:t>Sales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D5CDBD"/>
                    </w:rPr>
                    <w:t>Expenses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D5CDBD"/>
                    </w:rPr>
                    <w:t>Inventory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D5CDBD"/>
                    </w:rPr>
                    <w:t>Reports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D5CDBD"/>
                    </w:rPr>
                    <w:t>Profile</w:t>
                  </w:r>
                </w:p>
              </w:tc>
              <w:tc>
                <w:tcPr>
                  <w:tcW w:w="11000" w:type="dxa"/>
                  <w:vAlign w:val="top"/>
                  <w:shd w:fill="F7F7F5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E4DED2"/>
                    <w:left w:val="single" w:sz="4" w:color="E4DED2"/>
                    <w:bottom w:val="single" w:sz="4" w:color="E4DED2"/>
                    <w:right w:val="single" w:sz="4" w:color="E4DED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8"/>
                      <w:color w:val="171A15"/>
                      <w:b/>
                    </w:rPr>
                    <w:t>Good morning, Amina Okafor</w:t>
                  </w:r>
                </w:p>
                <w:p>
                  <w:pPr>
                    <w:spacing w:before="0" w:after="120"/>
                  </w:pPr>
                  <w:r>
                    <w:rPr>
                      <w:sz w:val="16"/>
                      <w:color w:val="777168"/>
                    </w:rPr>
                    <w:t>Here is what is happening with Amina Provisions today.</w:t>
                  </w:r>
                </w:p>
                <w:tbl>
                  <w:tblPr>
                    <w:tblW w:w="14400" w:type="dxa"/>
                    <w:tblInd w:w="0" w:type="dxa"/>
                    <w:tblLayout w:type="fixed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3100"/>
                    <w:gridCol w:w="3100"/>
                    <w:gridCol w:w="3100"/>
                  </w:tblGrid>
                  <w:tr>
                    <w:tc>
                      <w:tcPr>
                        <w:tcW w:w="3400" w:type="dxa"/>
                        <w:vAlign w:val="center"/>
                        <w:shd w:fill="FFF7ED"/>
                        <w:tcMar>
                          <w:top w:w="160" w:type="dxa"/>
                          <w:left w:w="180" w:type="dxa"/>
                          <w:bottom w:w="160" w:type="dxa"/>
                          <w:right w:w="180" w:type="dxa"/>
                        </w:tcMar>
                        <w:tcBorders>
                          <w:top w:val="single" w:sz="4" w:color="E6D7C8"/>
                          <w:left w:val="single" w:sz="4" w:color="E6D7C8"/>
                          <w:bottom w:val="single" w:sz="4" w:color="E6D7C8"/>
                          <w:right w:val="single" w:sz="4" w:color="E6D7C8"/>
                        </w:tcBorders>
                      </w:tcPr>
                      <w:p>
                        <w:pPr>
                          <w:spacing w:before="0" w:after="40"/>
                        </w:pPr>
                        <w:r>
                          <w:rPr>
                            <w:sz w:val="16"/>
                            <w:color w:val="D95F18"/>
                            <w:b/>
                          </w:rPr>
                          <w:t>SALES TODAY</w:t>
                        </w:r>
                      </w:p>
                      <w:p>
                        <w:pPr>
                          <w:spacing w:before="0" w:after="40"/>
                        </w:pPr>
                        <w:r>
                          <w:rPr>
                            <w:sz w:val="34"/>
                            <w:color w:val="171A15"/>
                            <w:b/>
                          </w:rPr>
                          <w:t>NGN 174k</w:t>
                        </w:r>
                      </w:p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color w:val="555555"/>
                          </w:rPr>
                          <w:t>Daily inflow</w:t>
                        </w:r>
                      </w:p>
                    </w:tc>
                    <w:tc>
                      <w:tcPr>
                        <w:tcW w:w="3400" w:type="dxa"/>
                        <w:vAlign w:val="center"/>
                        <w:shd w:fill="FEF2F2"/>
                        <w:tcMar>
                          <w:top w:w="160" w:type="dxa"/>
                          <w:left w:w="180" w:type="dxa"/>
                          <w:bottom w:w="160" w:type="dxa"/>
                          <w:right w:w="180" w:type="dxa"/>
                        </w:tcMar>
                        <w:tcBorders>
                          <w:top w:val="single" w:sz="4" w:color="E6D7C8"/>
                          <w:left w:val="single" w:sz="4" w:color="E6D7C8"/>
                          <w:bottom w:val="single" w:sz="4" w:color="E6D7C8"/>
                          <w:right w:val="single" w:sz="4" w:color="E6D7C8"/>
                        </w:tcBorders>
                      </w:tcPr>
                      <w:p>
                        <w:pPr>
                          <w:spacing w:before="0" w:after="40"/>
                        </w:pPr>
                        <w:r>
                          <w:rPr>
                            <w:sz w:val="16"/>
                            <w:color w:val="C34230"/>
                            <w:b/>
                          </w:rPr>
                          <w:t>EXPENSES</w:t>
                        </w:r>
                      </w:p>
                      <w:p>
                        <w:pPr>
                          <w:spacing w:before="0" w:after="40"/>
                        </w:pPr>
                        <w:r>
                          <w:rPr>
                            <w:sz w:val="34"/>
                            <w:color w:val="171A15"/>
                            <w:b/>
                          </w:rPr>
                          <w:t>NGN 15k</w:t>
                        </w:r>
                      </w:p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color w:val="555555"/>
                          </w:rPr>
                          <w:t>Daily outflow</w:t>
                        </w:r>
                      </w:p>
                    </w:tc>
                    <w:tc>
                      <w:tcPr>
                        <w:tcW w:w="3400" w:type="dxa"/>
                        <w:vAlign w:val="center"/>
                        <w:shd w:fill="F0FDF4"/>
                        <w:tcMar>
                          <w:top w:w="160" w:type="dxa"/>
                          <w:left w:w="180" w:type="dxa"/>
                          <w:bottom w:w="160" w:type="dxa"/>
                          <w:right w:w="180" w:type="dxa"/>
                        </w:tcMar>
                        <w:tcBorders>
                          <w:top w:val="single" w:sz="4" w:color="E6D7C8"/>
                          <w:left w:val="single" w:sz="4" w:color="E6D7C8"/>
                          <w:bottom w:val="single" w:sz="4" w:color="E6D7C8"/>
                          <w:right w:val="single" w:sz="4" w:color="E6D7C8"/>
                        </w:tcBorders>
                      </w:tcPr>
                      <w:p>
                        <w:pPr>
                          <w:spacing w:before="0" w:after="40"/>
                        </w:pPr>
                        <w:r>
                          <w:rPr>
                            <w:sz w:val="16"/>
                            <w:color w:val="23824D"/>
                            <w:b/>
                          </w:rPr>
                          <w:t>NET PROFIT</w:t>
                        </w:r>
                      </w:p>
                      <w:p>
                        <w:pPr>
                          <w:spacing w:before="0" w:after="40"/>
                        </w:pPr>
                        <w:r>
                          <w:rPr>
                            <w:sz w:val="34"/>
                            <w:color w:val="171A15"/>
                            <w:b/>
                          </w:rPr>
                          <w:t>NGN 159k</w:t>
                        </w:r>
                      </w:p>
                      <w:p>
                        <w:pPr>
                          <w:spacing w:before="0" w:after="0"/>
                        </w:pPr>
                        <w:r>
                          <w:rPr>
                            <w:sz w:val="16"/>
                            <w:color w:val="555555"/>
                          </w:rPr>
                          <w:t>Prototype profit</w:t>
                        </w:r>
                      </w:p>
                    </w:tc>
                  </w:tr>
                </w:tbl>
                <w:tbl>
                  <w:tblPr>
                    <w:tblW w:w="14400" w:type="dxa"/>
                    <w:tblInd w:w="0" w:type="dxa"/>
                    <w:tblLayout w:type="fixed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</w:tblPr>
                  <w:tblGrid>
                    <w:gridCol w:w="4550"/>
                    <w:gridCol w:w="4550"/>
                  </w:tblGrid>
                  <w:tr>
                    <w:tc>
                      <w:tcPr>
                        <w:tcW w:w="4550" w:type="dxa"/>
                        <w:vAlign w:val="center"/>
                        <w:shd w:fill="FFFFFF"/>
                        <w:tcMar>
                          <w:top w:w="160" w:type="dxa"/>
                          <w:left w:w="180" w:type="dxa"/>
                          <w:bottom w:w="160" w:type="dxa"/>
                          <w:right w:w="180" w:type="dxa"/>
                        </w:tcMar>
                        <w:tcBorders>
                          <w:top w:val="single" w:sz="4" w:color="D7DBE2"/>
                          <w:left w:val="single" w:sz="4" w:color="D7DBE2"/>
                          <w:bottom w:val="single" w:sz="4" w:color="D7DBE2"/>
                          <w:right w:val="single" w:sz="4" w:color="D7DBE2"/>
                        </w:tcBorders>
                      </w:tcPr>
                      <w:p>
                        <w:pPr>
                          <w:spacing w:before="0" w:after="120"/>
                        </w:pPr>
                        <w:r>
                          <w:rPr>
                            <w:sz w:val="20"/>
                            <w:color w:val="1B1B18"/>
                            <w:b/>
                          </w:rPr>
                          <w:t>Recent Activity</w:t>
                        </w:r>
                      </w:p>
                      <w:p>
                        <w:pPr>
                          <w:spacing w:before="0" w:after="120"/>
                        </w:pPr>
                        <w:r>
                          <w:rPr>
                            <w:sz w:val="16"/>
                            <w:color w:val="23824D"/>
                          </w:rPr>
                          <w:t>Rice 50kg  +NGN 72,000</w:t>
                        </w:r>
                      </w:p>
                      <w:p>
                        <w:pPr>
                          <w:spacing w:before="0" w:after="120"/>
                        </w:pPr>
                        <w:r>
                          <w:rPr>
                            <w:sz w:val="16"/>
                            <w:color w:val="C34230"/>
                          </w:rPr>
                          <w:t>Transport  -NGN 8,500</w:t>
                        </w:r>
                      </w:p>
                      <w:p>
                        <w:pPr>
                          <w:spacing w:before="0" w:after="120"/>
                        </w:pPr>
                        <w:r>
                          <w:rPr>
                            <w:sz w:val="16"/>
                            <w:color w:val="23824D"/>
                          </w:rPr>
                          <w:t>Palm oil carton  +NGN 38,500</w:t>
                        </w:r>
                      </w:p>
                    </w:tc>
                    <w:tc>
                      <w:tcPr>
                        <w:tcW w:w="4550" w:type="dxa"/>
                        <w:vAlign w:val="center"/>
                        <w:shd w:fill="FFF7ED"/>
                        <w:tcMar>
                          <w:top w:w="160" w:type="dxa"/>
                          <w:left w:w="180" w:type="dxa"/>
                          <w:bottom w:w="160" w:type="dxa"/>
                          <w:right w:w="180" w:type="dxa"/>
                        </w:tcMar>
                        <w:tcBorders>
                          <w:top w:val="single" w:sz="4" w:color="D7DBE2"/>
                          <w:left w:val="single" w:sz="4" w:color="D7DBE2"/>
                          <w:bottom w:val="single" w:sz="4" w:color="D7DBE2"/>
                          <w:right w:val="single" w:sz="4" w:color="D7DBE2"/>
                        </w:tcBorders>
                      </w:tcPr>
                      <w:p>
                        <w:pPr>
                          <w:spacing w:before="0" w:after="120"/>
                        </w:pPr>
                        <w:r>
                          <w:rPr>
                            <w:sz w:val="20"/>
                            <w:color w:val="D95F18"/>
                            <w:b/>
                          </w:rPr>
                          <w:t>Low Stock Alert</w:t>
                        </w:r>
                      </w:p>
                      <w:p>
                        <w:pPr>
                          <w:spacing w:before="0" w:after="120"/>
                        </w:pPr>
                        <w:r>
                          <w:rPr>
                            <w:sz w:val="16"/>
                            <w:color w:val="1B1B18"/>
                          </w:rPr>
                          <w:t>Palm oil carton: 3 cartons left</w:t>
                        </w:r>
                      </w:p>
                      <w:p>
                        <w:pPr>
                          <w:spacing w:before="0" w:after="120"/>
                        </w:pPr>
                        <w:r>
                          <w:rPr>
                            <w:sz w:val="16"/>
                            <w:color w:val="1B1B18"/>
                          </w:rPr>
                          <w:t>Garri sack: 2 sacks left</w:t>
                        </w:r>
                      </w:p>
                      <w:p>
                        <w:pPr>
                          <w:spacing w:before="0" w:after="120"/>
                        </w:pPr>
                        <w:r>
                          <w:rPr>
                            <w:sz w:val="16"/>
                            <w:color w:val="777168"/>
                          </w:rPr>
                          <w:t>Inventory value appears in dashboard summary.</w:t>
                        </w:r>
                      </w:p>
                    </w:tc>
                  </w:tr>
                </w:tbl>
              </w:tc>
            </w:tr>
          </w:tbl>
        </w:tc>
      </w:tr>
    </w:tbl>
    <w:p>
      <w:pPr>
        <w:spacing w:before="0" w:after="120"/>
      </w:pPr>
      <w:r>
        <w:br w:type="page"/>
      </w:r>
    </w:p>
    <w:tbl>
      <w:tblPr>
        <w:tblW w:w="14400" w:type="dxa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0"/>
      </w:tblGrid>
      <w:tr>
        <w:tc>
          <w:tcPr>
            <w:tcW w:w="14400" w:type="dxa"/>
            <w:vAlign w:val="top"/>
            <w:shd w:fill="FBF8F1"/>
            <w:tcMar>
              <w:top w:w="160" w:type="dxa"/>
              <w:left w:w="180" w:type="dxa"/>
              <w:bottom w:w="160" w:type="dxa"/>
              <w:right w:w="180" w:type="dxa"/>
            </w:tcMar>
            <w:tcBorders>
              <w:top w:val="single" w:sz="4" w:color="FBF8F1"/>
              <w:left w:val="single" w:sz="4" w:color="FBF8F1"/>
              <w:bottom w:val="single" w:sz="4" w:color="FBF8F1"/>
              <w:right w:val="single" w:sz="4" w:color="FBF8F1"/>
            </w:tcBorders>
          </w:tcPr>
          <w:p>
            <w:pPr>
              <w:spacing w:before="0" w:after="90"/>
            </w:pPr>
            <w:r>
              <w:rPr>
                <w:sz w:val="16"/>
                <w:color w:val="D95F18"/>
                <w:b/>
              </w:rPr>
              <w:t>IMPLEMENTED SCREENS</w:t>
            </w:r>
          </w:p>
          <w:p>
            <w:pPr>
              <w:spacing w:before="0" w:after="120"/>
            </w:pPr>
            <w:r>
              <w:rPr>
                <w:sz w:val="42"/>
                <w:color w:val="171A15"/>
                <w:b/>
              </w:rPr>
              <w:t>The product has a routed page for each main operating task.</w:t>
            </w:r>
          </w:p>
          <w:p>
            <w:pPr>
              <w:spacing w:before="0" w:after="180"/>
            </w:pPr>
            <w:r>
              <w:rPr>
                <w:sz w:val="20"/>
                <w:color w:val="555555"/>
              </w:rPr>
              <w:t>The current app is not just a landing page; it has working application surfaces.</w:t>
            </w:r>
          </w:p>
          <w:tbl>
            <w:tblPr>
              <w:tblW w:w="14400" w:type="dxa"/>
              <w:tblInd w:w="0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400"/>
              <w:gridCol w:w="4400"/>
              <w:gridCol w:w="4400"/>
            </w:tblGrid>
            <w:tr>
              <w:tc>
                <w:tcPr>
                  <w:tcW w:w="4400" w:type="dxa"/>
                  <w:vAlign w:val="center"/>
                  <w:shd w:fill="FFFFFF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D7DBE2"/>
                    <w:left w:val="single" w:sz="4" w:color="D7DBE2"/>
                    <w:bottom w:val="single" w:sz="4" w:color="D7DBE2"/>
                    <w:right w:val="single" w:sz="4" w:color="D7DBE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4"/>
                      <w:color w:val="1B1B18"/>
                      <w:b/>
                    </w:rPr>
                    <w:t>Auth</w:t>
                  </w:r>
                </w:p>
                <w:p>
                  <w:pPr>
                    <w:spacing w:before="0" w:after="120"/>
                  </w:pPr>
                  <w:r>
                    <w:rPr>
                      <w:sz w:val="16"/>
                      <w:color w:val="D95F18"/>
                      <w:b/>
                    </w:rPr>
                    <w:t>/auth</w:t>
                  </w:r>
                </w:p>
                <w:p>
                  <w:pPr>
                    <w:spacing w:before="0" w:after="120"/>
                  </w:pPr>
                  <w:r>
                    <w:rPr>
                      <w:sz w:val="16"/>
                      <w:color w:val="1B1B18"/>
                    </w:rPr>
                    <w:t>Register, login, token storage, refresh, logout, and profile request.</w:t>
                  </w:r>
                </w:p>
              </w:tc>
              <w:tc>
                <w:tcPr>
                  <w:tcW w:w="4400" w:type="dxa"/>
                  <w:vAlign w:val="center"/>
                  <w:shd w:fill="FFFFFF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D7DBE2"/>
                    <w:left w:val="single" w:sz="4" w:color="D7DBE2"/>
                    <w:bottom w:val="single" w:sz="4" w:color="D7DBE2"/>
                    <w:right w:val="single" w:sz="4" w:color="D7DBE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4"/>
                      <w:color w:val="1B1B18"/>
                      <w:b/>
                    </w:rPr>
                    <w:t>Dashboard</w:t>
                  </w:r>
                </w:p>
                <w:p>
                  <w:pPr>
                    <w:spacing w:before="0" w:after="120"/>
                  </w:pPr>
                  <w:r>
                    <w:rPr>
                      <w:sz w:val="16"/>
                      <w:color w:val="D95F18"/>
                      <w:b/>
                    </w:rPr>
                    <w:t>/dashboard</w:t>
                  </w:r>
                </w:p>
                <w:p>
                  <w:pPr>
                    <w:spacing w:before="0" w:after="120"/>
                  </w:pPr>
                  <w:r>
                    <w:rPr>
                      <w:sz w:val="16"/>
                      <w:color w:val="1B1B18"/>
                    </w:rPr>
                    <w:t>Daily summary, recent activity, stock alerts, top selling item, weekly chart.</w:t>
                  </w:r>
                </w:p>
              </w:tc>
              <w:tc>
                <w:tcPr>
                  <w:tcW w:w="4400" w:type="dxa"/>
                  <w:vAlign w:val="center"/>
                  <w:shd w:fill="FFFFFF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D7DBE2"/>
                    <w:left w:val="single" w:sz="4" w:color="D7DBE2"/>
                    <w:bottom w:val="single" w:sz="4" w:color="D7DBE2"/>
                    <w:right w:val="single" w:sz="4" w:color="D7DBE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4"/>
                      <w:color w:val="1B1B18"/>
                      <w:b/>
                    </w:rPr>
                    <w:t>Sales</w:t>
                  </w:r>
                </w:p>
                <w:p>
                  <w:pPr>
                    <w:spacing w:before="0" w:after="120"/>
                  </w:pPr>
                  <w:r>
                    <w:rPr>
                      <w:sz w:val="16"/>
                      <w:color w:val="D95F18"/>
                      <w:b/>
                    </w:rPr>
                    <w:t>/sales</w:t>
                  </w:r>
                </w:p>
                <w:p>
                  <w:pPr>
                    <w:spacing w:before="0" w:after="120"/>
                  </w:pPr>
                  <w:r>
                    <w:rPr>
                      <w:sz w:val="16"/>
                      <w:color w:val="1B1B18"/>
                    </w:rPr>
                    <w:t>Create and delete item-level sale records.</w:t>
                  </w:r>
                </w:p>
              </w:tc>
            </w:tr>
            <w:tr>
              <w:tc>
                <w:tcPr>
                  <w:tcW w:w="4400" w:type="dxa"/>
                  <w:vAlign w:val="center"/>
                  <w:shd w:fill="FFFFFF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D7DBE2"/>
                    <w:left w:val="single" w:sz="4" w:color="D7DBE2"/>
                    <w:bottom w:val="single" w:sz="4" w:color="D7DBE2"/>
                    <w:right w:val="single" w:sz="4" w:color="D7DBE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4"/>
                      <w:color w:val="1B1B18"/>
                      <w:b/>
                    </w:rPr>
                    <w:t>Expenses</w:t>
                  </w:r>
                </w:p>
                <w:p>
                  <w:pPr>
                    <w:spacing w:before="0" w:after="120"/>
                  </w:pPr>
                  <w:r>
                    <w:rPr>
                      <w:sz w:val="16"/>
                      <w:color w:val="D95F18"/>
                      <w:b/>
                    </w:rPr>
                    <w:t>/expenses</w:t>
                  </w:r>
                </w:p>
                <w:p>
                  <w:pPr>
                    <w:spacing w:before="0" w:after="120"/>
                  </w:pPr>
                  <w:r>
                    <w:rPr>
                      <w:sz w:val="16"/>
                      <w:color w:val="1B1B18"/>
                    </w:rPr>
                    <w:t>Create and delete cost records for profit tracking.</w:t>
                  </w:r>
                </w:p>
              </w:tc>
              <w:tc>
                <w:tcPr>
                  <w:tcW w:w="4400" w:type="dxa"/>
                  <w:vAlign w:val="center"/>
                  <w:shd w:fill="FFFFFF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D7DBE2"/>
                    <w:left w:val="single" w:sz="4" w:color="D7DBE2"/>
                    <w:bottom w:val="single" w:sz="4" w:color="D7DBE2"/>
                    <w:right w:val="single" w:sz="4" w:color="D7DBE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4"/>
                      <w:color w:val="1B1B18"/>
                      <w:b/>
                    </w:rPr>
                    <w:t>Inventory</w:t>
                  </w:r>
                </w:p>
                <w:p>
                  <w:pPr>
                    <w:spacing w:before="0" w:after="120"/>
                  </w:pPr>
                  <w:r>
                    <w:rPr>
                      <w:sz w:val="16"/>
                      <w:color w:val="D95F18"/>
                      <w:b/>
                    </w:rPr>
                    <w:t>/inventory</w:t>
                  </w:r>
                </w:p>
                <w:p>
                  <w:pPr>
                    <w:spacing w:before="0" w:after="120"/>
                  </w:pPr>
                  <w:r>
                    <w:rPr>
                      <w:sz w:val="16"/>
                      <w:color w:val="1B1B18"/>
                    </w:rPr>
                    <w:t>Track quantity, unit cost, stock value, and reorder levels.</w:t>
                  </w:r>
                </w:p>
              </w:tc>
              <w:tc>
                <w:tcPr>
                  <w:tcW w:w="4400" w:type="dxa"/>
                  <w:vAlign w:val="center"/>
                  <w:shd w:fill="FFFFFF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D7DBE2"/>
                    <w:left w:val="single" w:sz="4" w:color="D7DBE2"/>
                    <w:bottom w:val="single" w:sz="4" w:color="D7DBE2"/>
                    <w:right w:val="single" w:sz="4" w:color="D7DBE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4"/>
                      <w:color w:val="1B1B18"/>
                      <w:b/>
                    </w:rPr>
                    <w:t>Reports + Profile</w:t>
                  </w:r>
                </w:p>
                <w:p>
                  <w:pPr>
                    <w:spacing w:before="0" w:after="120"/>
                  </w:pPr>
                  <w:r>
                    <w:rPr>
                      <w:sz w:val="16"/>
                      <w:color w:val="D95F18"/>
                      <w:b/>
                    </w:rPr>
                    <w:t>/reports, /profile</w:t>
                  </w:r>
                </w:p>
                <w:p>
                  <w:pPr>
                    <w:spacing w:before="0" w:after="120"/>
                  </w:pPr>
                  <w:r>
                    <w:rPr>
                      <w:sz w:val="16"/>
                      <w:color w:val="1B1B18"/>
                    </w:rPr>
                    <w:t>Simple profit/capital/tax reserve report plus account details.</w:t>
                  </w:r>
                </w:p>
              </w:tc>
            </w:tr>
          </w:tbl>
        </w:tc>
      </w:tr>
    </w:tbl>
    <w:p>
      <w:pPr>
        <w:spacing w:before="0" w:after="120"/>
      </w:pPr>
      <w:r>
        <w:br w:type="page"/>
      </w:r>
    </w:p>
    <w:tbl>
      <w:tblPr>
        <w:tblW w:w="14400" w:type="dxa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0"/>
      </w:tblGrid>
      <w:tr>
        <w:tc>
          <w:tcPr>
            <w:tcW w:w="14400" w:type="dxa"/>
            <w:vAlign w:val="top"/>
            <w:shd w:fill="EEF5EC"/>
            <w:tcMar>
              <w:top w:w="160" w:type="dxa"/>
              <w:left w:w="180" w:type="dxa"/>
              <w:bottom w:w="160" w:type="dxa"/>
              <w:right w:w="180" w:type="dxa"/>
            </w:tcMar>
            <w:tcBorders>
              <w:top w:val="single" w:sz="4" w:color="EEF5EC"/>
              <w:left w:val="single" w:sz="4" w:color="EEF5EC"/>
              <w:bottom w:val="single" w:sz="4" w:color="EEF5EC"/>
              <w:right w:val="single" w:sz="4" w:color="EEF5EC"/>
            </w:tcBorders>
          </w:tcPr>
          <w:p>
            <w:pPr>
              <w:spacing w:before="0" w:after="90"/>
            </w:pPr>
            <w:r>
              <w:rPr>
                <w:sz w:val="16"/>
                <w:color w:val="D95F18"/>
                <w:b/>
              </w:rPr>
              <w:t>BACKEND REALITY</w:t>
            </w:r>
          </w:p>
          <w:p>
            <w:pPr>
              <w:spacing w:before="0" w:after="120"/>
            </w:pPr>
            <w:r>
              <w:rPr>
                <w:sz w:val="42"/>
                <w:color w:val="171A15"/>
                <w:b/>
              </w:rPr>
              <w:t>The backend is a functional prototype with a documented path to stronger domain boundaries.</w:t>
            </w:r>
          </w:p>
          <w:tbl>
            <w:tblPr>
              <w:tblW w:w="14400" w:type="dxa"/>
              <w:tblInd w:w="0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300"/>
              <w:gridCol w:w="4300"/>
              <w:gridCol w:w="4300"/>
            </w:tblGrid>
            <w:tr>
              <w:tc>
                <w:tcPr>
                  <w:tcW w:w="4300" w:type="dxa"/>
                  <w:vAlign w:val="center"/>
                  <w:shd w:fill="FFFFFF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D7DBE2"/>
                    <w:left w:val="single" w:sz="4" w:color="D7DBE2"/>
                    <w:bottom w:val="single" w:sz="4" w:color="D7DBE2"/>
                    <w:right w:val="single" w:sz="4" w:color="D7DBE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4"/>
                      <w:color w:val="0B2545"/>
                      <w:b/>
                    </w:rPr>
                    <w:t>Current models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1B1B18"/>
                    </w:rPr>
                    <w:t>BusinessProfile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1B1B18"/>
                    </w:rPr>
                    <w:t>Sale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1B1B18"/>
                    </w:rPr>
                    <w:t>Expense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1B1B18"/>
                    </w:rPr>
                    <w:t>InventoryItem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1B1B18"/>
                    </w:rPr>
                    <w:t>OAuthIdentity</w:t>
                  </w:r>
                </w:p>
              </w:tc>
              <w:tc>
                <w:tcPr>
                  <w:tcW w:w="4300" w:type="dxa"/>
                  <w:vAlign w:val="center"/>
                  <w:shd w:fill="FFFFFF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D7DBE2"/>
                    <w:left w:val="single" w:sz="4" w:color="D7DBE2"/>
                    <w:bottom w:val="single" w:sz="4" w:color="D7DBE2"/>
                    <w:right w:val="single" w:sz="4" w:color="D7DBE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4"/>
                      <w:color w:val="0B2545"/>
                      <w:b/>
                    </w:rPr>
                    <w:t>Current API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1B1B18"/>
                    </w:rPr>
                    <w:t>/api/auth/*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1B1B18"/>
                    </w:rPr>
                    <w:t>/api/dashboard/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1B1B18"/>
                    </w:rPr>
                    <w:t>/api/sales/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1B1B18"/>
                    </w:rPr>
                    <w:t>/api/expenses/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1B1B18"/>
                    </w:rPr>
                    <w:t>/api/inventory/</w:t>
                  </w:r>
                </w:p>
              </w:tc>
              <w:tc>
                <w:tcPr>
                  <w:tcW w:w="4300" w:type="dxa"/>
                  <w:vAlign w:val="center"/>
                  <w:shd w:fill="FFF5F5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D7DBE2"/>
                    <w:left w:val="single" w:sz="4" w:color="D7DBE2"/>
                    <w:bottom w:val="single" w:sz="4" w:color="D7DBE2"/>
                    <w:right w:val="single" w:sz="4" w:color="D7DBE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4"/>
                      <w:color w:val="9B1C1C"/>
                      <w:b/>
                    </w:rPr>
                    <w:t>Known limitation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1B1B18"/>
                    </w:rPr>
                    <w:t>Financial records are currently scoped directly to users. The documented target is business-scoped ownership with memberships and permissions.</w:t>
                  </w:r>
                </w:p>
              </w:tc>
            </w:tr>
          </w:tbl>
          <w:p>
            <w:pPr>
              <w:spacing w:before="0" w:after="120"/>
              <w:jc w:val="right"/>
            </w:pPr>
            <w:r>
              <w:rPr>
                <w:sz w:val="15"/>
                <w:color w:val="777168"/>
              </w:rPr>
              <w:t>Source: backend/finance, backend/users, README, and docs.</w:t>
            </w:r>
          </w:p>
        </w:tc>
      </w:tr>
    </w:tbl>
    <w:p>
      <w:pPr>
        <w:spacing w:before="0" w:after="120"/>
      </w:pPr>
      <w:r>
        <w:br w:type="page"/>
      </w:r>
    </w:p>
    <w:tbl>
      <w:tblPr>
        <w:tblW w:w="14400" w:type="dxa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0"/>
      </w:tblGrid>
      <w:tr>
        <w:tc>
          <w:tcPr>
            <w:tcW w:w="14400" w:type="dxa"/>
            <w:vAlign w:val="top"/>
            <w:shd w:fill="FBF8F1"/>
            <w:tcMar>
              <w:top w:w="160" w:type="dxa"/>
              <w:left w:w="180" w:type="dxa"/>
              <w:bottom w:w="160" w:type="dxa"/>
              <w:right w:w="180" w:type="dxa"/>
            </w:tcMar>
            <w:tcBorders>
              <w:top w:val="single" w:sz="4" w:color="FBF8F1"/>
              <w:left w:val="single" w:sz="4" w:color="FBF8F1"/>
              <w:bottom w:val="single" w:sz="4" w:color="FBF8F1"/>
              <w:right w:val="single" w:sz="4" w:color="FBF8F1"/>
            </w:tcBorders>
          </w:tcPr>
          <w:p>
            <w:pPr>
              <w:spacing w:before="0" w:after="90"/>
            </w:pPr>
            <w:r>
              <w:rPr>
                <w:sz w:val="16"/>
                <w:color w:val="D95F18"/>
                <w:b/>
              </w:rPr>
              <w:t>ARCHITECTURE DIRECTION</w:t>
            </w:r>
          </w:p>
          <w:p>
            <w:pPr>
              <w:spacing w:before="0" w:after="120"/>
            </w:pPr>
            <w:r>
              <w:rPr>
                <w:sz w:val="42"/>
                <w:color w:val="171A15"/>
                <w:b/>
              </w:rPr>
              <w:t>The reconstruction plan moves MarketFlow from prototype CRUD to an accounting-aware modular monolith.</w:t>
            </w:r>
          </w:p>
          <w:tbl>
            <w:tblPr>
              <w:tblW w:w="14400" w:type="dxa"/>
              <w:tblInd w:w="0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900"/>
              <w:gridCol w:w="1900"/>
              <w:gridCol w:w="1900"/>
              <w:gridCol w:w="1900"/>
              <w:gridCol w:w="1900"/>
              <w:gridCol w:w="1900"/>
              <w:gridCol w:w="1900"/>
            </w:tblGrid>
            <w:tr>
              <w:tc>
                <w:tcPr>
                  <w:tcW w:w="1900" w:type="dxa"/>
                  <w:vAlign w:val="center"/>
                  <w:shd w:fill="20261D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20261D"/>
                    <w:left w:val="single" w:sz="4" w:color="20261D"/>
                    <w:bottom w:val="single" w:sz="4" w:color="20261D"/>
                    <w:right w:val="single" w:sz="4" w:color="20261D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0"/>
                      <w:color w:val="F9F2E5"/>
                      <w:b/>
                    </w:rPr>
                    <w:t>Users</w:t>
                  </w:r>
                </w:p>
                <w:p>
                  <w:pPr>
                    <w:spacing w:before="0" w:after="120"/>
                  </w:pPr>
                  <w:r>
                    <w:rPr>
                      <w:sz w:val="15"/>
                      <w:color w:val="D5CDBD"/>
                    </w:rPr>
                    <w:t>Identity and auth</w:t>
                  </w:r>
                </w:p>
              </w:tc>
              <w:tc>
                <w:tcPr>
                  <w:tcW w:w="1900" w:type="dxa"/>
                  <w:vAlign w:val="center"/>
                  <w:shd w:fill="274032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274032"/>
                    <w:left w:val="single" w:sz="4" w:color="274032"/>
                    <w:bottom w:val="single" w:sz="4" w:color="274032"/>
                    <w:right w:val="single" w:sz="4" w:color="27403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0"/>
                      <w:color w:val="F9F2E5"/>
                      <w:b/>
                    </w:rPr>
                    <w:t>Businesses</w:t>
                  </w:r>
                </w:p>
                <w:p>
                  <w:pPr>
                    <w:spacing w:before="0" w:after="120"/>
                  </w:pPr>
                  <w:r>
                    <w:rPr>
                      <w:sz w:val="15"/>
                      <w:color w:val="D5CDBD"/>
                    </w:rPr>
                    <w:t>Ownership boundary</w:t>
                  </w:r>
                </w:p>
              </w:tc>
              <w:tc>
                <w:tcPr>
                  <w:tcW w:w="1900" w:type="dxa"/>
                  <w:vAlign w:val="center"/>
                  <w:shd w:fill="FFFFFF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D7DBE2"/>
                    <w:left w:val="single" w:sz="4" w:color="D7DBE2"/>
                    <w:bottom w:val="single" w:sz="4" w:color="D7DBE2"/>
                    <w:right w:val="single" w:sz="4" w:color="D7DBE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0"/>
                      <w:color w:val="1B1B18"/>
                      <w:b/>
                    </w:rPr>
                    <w:t>Sales</w:t>
                  </w:r>
                </w:p>
                <w:p>
                  <w:pPr>
                    <w:spacing w:before="0" w:after="120"/>
                  </w:pPr>
                  <w:r>
                    <w:rPr>
                      <w:sz w:val="15"/>
                      <w:color w:val="1B1B18"/>
                    </w:rPr>
                    <w:t>Sale lines and payments</w:t>
                  </w:r>
                </w:p>
              </w:tc>
              <w:tc>
                <w:tcPr>
                  <w:tcW w:w="1900" w:type="dxa"/>
                  <w:vAlign w:val="center"/>
                  <w:shd w:fill="FFFFFF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D7DBE2"/>
                    <w:left w:val="single" w:sz="4" w:color="D7DBE2"/>
                    <w:bottom w:val="single" w:sz="4" w:color="D7DBE2"/>
                    <w:right w:val="single" w:sz="4" w:color="D7DBE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0"/>
                      <w:color w:val="1B1B18"/>
                      <w:b/>
                    </w:rPr>
                    <w:t>Expenses</w:t>
                  </w:r>
                </w:p>
                <w:p>
                  <w:pPr>
                    <w:spacing w:before="0" w:after="120"/>
                  </w:pPr>
                  <w:r>
                    <w:rPr>
                      <w:sz w:val="15"/>
                      <w:color w:val="1B1B18"/>
                    </w:rPr>
                    <w:t>Classified costs</w:t>
                  </w:r>
                </w:p>
              </w:tc>
              <w:tc>
                <w:tcPr>
                  <w:tcW w:w="1900" w:type="dxa"/>
                  <w:vAlign w:val="center"/>
                  <w:shd w:fill="FFFFFF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D7DBE2"/>
                    <w:left w:val="single" w:sz="4" w:color="D7DBE2"/>
                    <w:bottom w:val="single" w:sz="4" w:color="D7DBE2"/>
                    <w:right w:val="single" w:sz="4" w:color="D7DBE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0"/>
                      <w:color w:val="1B1B18"/>
                      <w:b/>
                    </w:rPr>
                    <w:t>Inventory</w:t>
                  </w:r>
                </w:p>
                <w:p>
                  <w:pPr>
                    <w:spacing w:before="0" w:after="120"/>
                  </w:pPr>
                  <w:r>
                    <w:rPr>
                      <w:sz w:val="15"/>
                      <w:color w:val="1B1B18"/>
                    </w:rPr>
                    <w:t>Stock movements</w:t>
                  </w:r>
                </w:p>
              </w:tc>
              <w:tc>
                <w:tcPr>
                  <w:tcW w:w="1900" w:type="dxa"/>
                  <w:vAlign w:val="center"/>
                  <w:shd w:fill="0B2545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0B2545"/>
                    <w:left w:val="single" w:sz="4" w:color="0B2545"/>
                    <w:bottom w:val="single" w:sz="4" w:color="0B2545"/>
                    <w:right w:val="single" w:sz="4" w:color="0B2545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0"/>
                      <w:color w:val="F9F2E5"/>
                      <w:b/>
                    </w:rPr>
                    <w:t>Ledger</w:t>
                  </w:r>
                </w:p>
                <w:p>
                  <w:pPr>
                    <w:spacing w:before="0" w:after="120"/>
                  </w:pPr>
                  <w:r>
                    <w:rPr>
                      <w:sz w:val="15"/>
                      <w:color w:val="D5CDBD"/>
                    </w:rPr>
                    <w:t>Cash and capital</w:t>
                  </w:r>
                </w:p>
              </w:tc>
              <w:tc>
                <w:tcPr>
                  <w:tcW w:w="1900" w:type="dxa"/>
                  <w:vAlign w:val="center"/>
                  <w:shd w:fill="FFFFFF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D7DBE2"/>
                    <w:left w:val="single" w:sz="4" w:color="D7DBE2"/>
                    <w:bottom w:val="single" w:sz="4" w:color="D7DBE2"/>
                    <w:right w:val="single" w:sz="4" w:color="D7DBE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0"/>
                      <w:color w:val="1B1B18"/>
                      <w:b/>
                    </w:rPr>
                    <w:t>Analytics</w:t>
                  </w:r>
                </w:p>
                <w:p>
                  <w:pPr>
                    <w:spacing w:before="0" w:after="120"/>
                  </w:pPr>
                  <w:r>
                    <w:rPr>
                      <w:sz w:val="15"/>
                      <w:color w:val="1B1B18"/>
                    </w:rPr>
                    <w:t>Profit and trends</w:t>
                  </w:r>
                </w:p>
              </w:tc>
            </w:tr>
          </w:tbl>
          <w:tbl>
            <w:tblPr>
              <w:tblW w:w="14400" w:type="dxa"/>
              <w:tblInd w:w="0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300"/>
              <w:gridCol w:w="4300"/>
              <w:gridCol w:w="4300"/>
            </w:tblGrid>
            <w:tr>
              <w:tc>
                <w:tcPr>
                  <w:tcW w:w="4300" w:type="dxa"/>
                  <w:vAlign w:val="center"/>
                  <w:shd w:fill="FFFFFF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D7DBE2"/>
                    <w:left w:val="single" w:sz="4" w:color="D7DBE2"/>
                    <w:bottom w:val="single" w:sz="4" w:color="D7DBE2"/>
                    <w:right w:val="single" w:sz="4" w:color="D7DBE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4"/>
                      <w:color w:val="1B1B18"/>
                      <w:b/>
                    </w:rPr>
                    <w:t>Planning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1B1B18"/>
                    </w:rPr>
                    <w:t>Burn rate, runway, and break-even scenarios.</w:t>
                  </w:r>
                </w:p>
              </w:tc>
              <w:tc>
                <w:tcPr>
                  <w:tcW w:w="4300" w:type="dxa"/>
                  <w:vAlign w:val="center"/>
                  <w:shd w:fill="FFFFFF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D7DBE2"/>
                    <w:left w:val="single" w:sz="4" w:color="D7DBE2"/>
                    <w:bottom w:val="single" w:sz="4" w:color="D7DBE2"/>
                    <w:right w:val="single" w:sz="4" w:color="D7DBE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4"/>
                      <w:color w:val="1B1B18"/>
                      <w:b/>
                    </w:rPr>
                    <w:t>Taxes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1B1B18"/>
                    </w:rPr>
                    <w:t>Versioned VAT/FIRS estimates with assumptions.</w:t>
                  </w:r>
                </w:p>
              </w:tc>
              <w:tc>
                <w:tcPr>
                  <w:tcW w:w="4300" w:type="dxa"/>
                  <w:vAlign w:val="center"/>
                  <w:shd w:fill="FFFFFF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D7DBE2"/>
                    <w:left w:val="single" w:sz="4" w:color="D7DBE2"/>
                    <w:bottom w:val="single" w:sz="4" w:color="D7DBE2"/>
                    <w:right w:val="single" w:sz="4" w:color="D7DBE2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4"/>
                      <w:color w:val="1B1B18"/>
                      <w:b/>
                    </w:rPr>
                    <w:t>Forecasting</w:t>
                  </w:r>
                </w:p>
                <w:p>
                  <w:pPr>
                    <w:spacing w:before="0" w:after="120"/>
                  </w:pPr>
                  <w:r>
                    <w:rPr>
                      <w:sz w:val="17"/>
                      <w:color w:val="1B1B18"/>
                    </w:rPr>
                    <w:t>Forecast runs, projected periods, and measured forecast error.</w:t>
                  </w:r>
                </w:p>
              </w:tc>
            </w:tr>
          </w:tbl>
        </w:tc>
      </w:tr>
    </w:tbl>
    <w:p>
      <w:pPr>
        <w:spacing w:before="0" w:after="120"/>
      </w:pPr>
      <w:r>
        <w:br w:type="page"/>
      </w:r>
    </w:p>
    <w:tbl>
      <w:tblPr>
        <w:tblW w:w="14400" w:type="dxa"/>
        <w:tblInd w:w="0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400"/>
      </w:tblGrid>
      <w:tr>
        <w:tc>
          <w:tcPr>
            <w:tcW w:w="14400" w:type="dxa"/>
            <w:vAlign w:val="top"/>
            <w:shd w:fill="171A15"/>
            <w:tcMar>
              <w:top w:w="160" w:type="dxa"/>
              <w:left w:w="180" w:type="dxa"/>
              <w:bottom w:w="160" w:type="dxa"/>
              <w:right w:w="180" w:type="dxa"/>
            </w:tcMar>
            <w:tcBorders>
              <w:top w:val="single" w:sz="4" w:color="171A15"/>
              <w:left w:val="single" w:sz="4" w:color="171A15"/>
              <w:bottom w:val="single" w:sz="4" w:color="171A15"/>
              <w:right w:val="single" w:sz="4" w:color="171A15"/>
            </w:tcBorders>
          </w:tcPr>
          <w:p>
            <w:pPr>
              <w:spacing w:before="0" w:after="90"/>
            </w:pPr>
            <w:r>
              <w:rPr>
                <w:sz w:val="16"/>
                <w:color w:val="F28C38"/>
                <w:b/>
              </w:rPr>
              <w:t>NEXT IMPLEMENTATION SLICE</w:t>
            </w:r>
          </w:p>
          <w:p>
            <w:pPr>
              <w:spacing w:before="0" w:after="120"/>
            </w:pPr>
            <w:r>
              <w:rPr>
                <w:sz w:val="42"/>
                <w:color w:val="F9F2E5"/>
                <w:b/>
              </w:rPr>
              <w:t>The next sprint should make ownership and tests safer before adding advanced finance features.</w:t>
            </w:r>
          </w:p>
          <w:tbl>
            <w:tblPr>
              <w:tblW w:w="14400" w:type="dxa"/>
              <w:tblInd w:w="0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4200"/>
              <w:gridCol w:w="4200"/>
              <w:gridCol w:w="4200"/>
            </w:tblGrid>
            <w:tr>
              <w:tc>
                <w:tcPr>
                  <w:tcW w:w="4200" w:type="dxa"/>
                  <w:vAlign w:val="center"/>
                  <w:shd w:fill="272C24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3B4035"/>
                    <w:left w:val="single" w:sz="4" w:color="3B4035"/>
                    <w:bottom w:val="single" w:sz="4" w:color="3B4035"/>
                    <w:right w:val="single" w:sz="4" w:color="3B4035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36"/>
                      <w:color w:val="F28C38"/>
                      <w:b/>
                    </w:rPr>
                    <w:t>1</w:t>
                  </w:r>
                </w:p>
                <w:p>
                  <w:pPr>
                    <w:spacing w:before="0" w:after="120"/>
                  </w:pPr>
                  <w:r>
                    <w:rPr>
                      <w:sz w:val="21"/>
                      <w:color w:val="F9F2E5"/>
                      <w:b/>
                    </w:rPr>
                    <w:t>Characterization tests</w:t>
                  </w:r>
                </w:p>
                <w:p>
                  <w:pPr>
                    <w:spacing w:before="0" w:after="120"/>
                  </w:pPr>
                  <w:r>
                    <w:rPr>
                      <w:sz w:val="16"/>
                      <w:color w:val="D5CDBD"/>
                    </w:rPr>
                    <w:t>Freeze existing API behavior before refactoring.</w:t>
                  </w:r>
                </w:p>
              </w:tc>
              <w:tc>
                <w:tcPr>
                  <w:tcW w:w="4200" w:type="dxa"/>
                  <w:vAlign w:val="center"/>
                  <w:shd w:fill="272C24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3B4035"/>
                    <w:left w:val="single" w:sz="4" w:color="3B4035"/>
                    <w:bottom w:val="single" w:sz="4" w:color="3B4035"/>
                    <w:right w:val="single" w:sz="4" w:color="3B4035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36"/>
                      <w:color w:val="F28C38"/>
                      <w:b/>
                    </w:rPr>
                    <w:t>2</w:t>
                  </w:r>
                </w:p>
                <w:p>
                  <w:pPr>
                    <w:spacing w:before="0" w:after="120"/>
                  </w:pPr>
                  <w:r>
                    <w:rPr>
                      <w:sz w:val="21"/>
                      <w:color w:val="F9F2E5"/>
                      <w:b/>
                    </w:rPr>
                    <w:t>Business ownership</w:t>
                  </w:r>
                </w:p>
                <w:p>
                  <w:pPr>
                    <w:spacing w:before="0" w:after="120"/>
                  </w:pPr>
                  <w:r>
                    <w:rPr>
                      <w:sz w:val="16"/>
                      <w:color w:val="D5CDBD"/>
                    </w:rPr>
                    <w:t>Create Business and BusinessMembership.</w:t>
                  </w:r>
                </w:p>
              </w:tc>
              <w:tc>
                <w:tcPr>
                  <w:tcW w:w="4200" w:type="dxa"/>
                  <w:vAlign w:val="center"/>
                  <w:shd w:fill="272C24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3B4035"/>
                    <w:left w:val="single" w:sz="4" w:color="3B4035"/>
                    <w:bottom w:val="single" w:sz="4" w:color="3B4035"/>
                    <w:right w:val="single" w:sz="4" w:color="3B4035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36"/>
                      <w:color w:val="F28C38"/>
                      <w:b/>
                    </w:rPr>
                    <w:t>3</w:t>
                  </w:r>
                </w:p>
                <w:p>
                  <w:pPr>
                    <w:spacing w:before="0" w:after="120"/>
                  </w:pPr>
                  <w:r>
                    <w:rPr>
                      <w:sz w:val="21"/>
                      <w:color w:val="F9F2E5"/>
                      <w:b/>
                    </w:rPr>
                    <w:t>Backfill safely</w:t>
                  </w:r>
                </w:p>
                <w:p>
                  <w:pPr>
                    <w:spacing w:before="0" w:after="120"/>
                  </w:pPr>
                  <w:r>
                    <w:rPr>
                      <w:sz w:val="16"/>
                      <w:color w:val="D5CDBD"/>
                    </w:rPr>
                    <w:t>Move existing records toward business scope.</w:t>
                  </w:r>
                </w:p>
              </w:tc>
            </w:tr>
          </w:tbl>
          <w:tbl>
            <w:tblPr>
              <w:tblW w:w="14400" w:type="dxa"/>
              <w:tblInd w:w="0" w:type="dxa"/>
              <w:tblLayout w:type="fixed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13200"/>
            </w:tblGrid>
            <w:tr>
              <w:tc>
                <w:tcPr>
                  <w:tcW w:w="13200" w:type="dxa"/>
                  <w:vAlign w:val="center"/>
                  <w:shd w:fill="20261D"/>
                  <w:tcMar>
                    <w:top w:w="160" w:type="dxa"/>
                    <w:left w:w="180" w:type="dxa"/>
                    <w:bottom w:w="160" w:type="dxa"/>
                    <w:right w:w="180" w:type="dxa"/>
                  </w:tcMar>
                  <w:tcBorders>
                    <w:top w:val="single" w:sz="4" w:color="3B4035"/>
                    <w:left w:val="single" w:sz="4" w:color="3B4035"/>
                    <w:bottom w:val="single" w:sz="4" w:color="3B4035"/>
                    <w:right w:val="single" w:sz="4" w:color="3B4035"/>
                  </w:tcBorders>
                </w:tcPr>
                <w:p>
                  <w:pPr>
                    <w:spacing w:before="0" w:after="120"/>
                  </w:pPr>
                  <w:r>
                    <w:rPr>
                      <w:sz w:val="26"/>
                      <w:color w:val="F9F2E5"/>
                      <w:b/>
                    </w:rPr>
                    <w:t>Do not rewrite everything at once.</w:t>
                  </w:r>
                </w:p>
                <w:p>
                  <w:pPr>
                    <w:spacing w:before="0" w:after="120"/>
                  </w:pPr>
                  <w:r>
                    <w:rPr>
                      <w:sz w:val="18"/>
                      <w:color w:val="D5CDBD"/>
                    </w:rPr>
                    <w:t>Keep existing frontend payloads stable while backend boundaries are introduced behind compatibility endpoints.</w:t>
                  </w:r>
                </w:p>
              </w:tc>
            </w:tr>
          </w:tbl>
        </w:tc>
      </w:tr>
    </w:tbl>
    <w:sectPr>
      <w:headerReference w:type="default" r:id="rId6"/>
      <w:footerReference w:type="default" r:id="rId7"/>
      <w:pgSz w:w="15840" w:h="12240" w:orient="landscape"/>
      <w:pgMar w:top="720" w:right="720" w:bottom="720" w:left="720" w:header="360" w:footer="36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sz w:val="16"/>
        <w:color w:val="888888"/>
      </w:rPr>
      <w:t>cashflow_analyzer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888888"/>
      </w:rPr>
      <w:t>MarketFlow graphical overview</w:t>
    </w:r>
  </w:p>
</w:hdr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1B1B18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/>
      <w:sz w:val="22"/>
    </w:rPr>
  </w:style>
</w:styles>
</file>

<file path=word/_rels/document.xml.rels><?xml version="1.0" encoding="UTF-8" standalone="yes"?>
<Relationships xmlns="http://schemas.openxmlformats.org/package/2006/relationships">
<Relationship Id="rId4" Type="http://schemas.openxmlformats.org/officeDocument/2006/relationships/styles" Target="styles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MarketFlow Graphical Project Overview</dc:title>
  <dc:creator>Codex</dc:creator>
  <cp:lastModifiedBy>Codex</cp:lastModifiedBy>
  <dcterms:created xsi:type="dcterms:W3CDTF">2026-06-21T08:25:44Z</dcterms:created>
  <dcterms:modified xsi:type="dcterms:W3CDTF">2026-06-21T08:25:44Z</dcterms:modified>
</cp:coreProperties>
</file>