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>MarketFlow Project Overview</w:t>
      </w:r>
    </w:p>
    <w:p>
      <w:pPr>
        <w:pStyle w:val="Subtitle"/>
      </w:pPr>
      <w:r>
        <w:t>Full project brief generated from the current repository state</w:t>
      </w:r>
    </w:p>
    <w:p>
      <w:pPr>
        <w:pStyle w:val="Meta"/>
      </w:pPr>
      <w:r>
        <w:t>Prepared: June 21, 2026 | Repository: cashflow_analyzer</w:t>
      </w:r>
    </w:p>
    <w:p>
      <w:pPr>
        <w:pStyle w:val="Heading1"/>
      </w:pPr>
      <w:r>
        <w:t>Project summary</w:t>
      </w:r>
    </w:p>
    <w:p>
      <w:r>
        <w:t>MarketFlow is a cash-flow tracker for Nigerian market traders. The current repository contains a Django backend API and a React/Vite frontend. The product helps traders record daily sales, track expenses, monitor inventory, understand profit and capital position, and prepare for future reporting, tax, and forecasting workflows.</w:t>
      </w:r>
    </w:p>
    <w:tbl>
      <w:tblPr>
        <w:tblStyle w:val="TableGrid"/>
        <w:tblW w:w="9360" w:type="dxa"/>
        <w:tblInd w:w="120" w:type="dxa"/>
        <w:tblLayout w:type="fixed"/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2200"/>
        <w:gridCol w:w="7160"/>
      </w:tblGrid>
      <w:tr>
        <w:trPr>
          <w:tblHeader/>
        </w:trPr>
        <w:tc>
          <w:tcPr>
            <w:tcW w:w="2200" w:type="dxa"/>
            <w:shd w:fill="F2F4F7"/>
          </w:tcPr>
          <w:p>
            <w:r>
              <w:rPr>
                <w:b/>
                <w:color w:val="0B2545"/>
              </w:rPr>
              <w:t>Area</w:t>
            </w:r>
          </w:p>
        </w:tc>
        <w:tc>
          <w:tcPr>
            <w:tcW w:w="7160" w:type="dxa"/>
            <w:shd w:fill="F2F4F7"/>
          </w:tcPr>
          <w:p>
            <w:r>
              <w:rPr>
                <w:b/>
                <w:color w:val="0B2545"/>
              </w:rPr>
              <w:t>Current state</w:t>
            </w:r>
          </w:p>
        </w:tc>
      </w:tr>
      <w:tr>
        <w:tc>
          <w:tcPr>
            <w:tcW w:w="2200" w:type="dxa"/>
          </w:tcPr>
          <w:p>
            <w:r>
              <w:t>Frontend</w:t>
            </w:r>
          </w:p>
        </w:tc>
        <w:tc>
          <w:tcPr>
            <w:tcW w:w="7160" w:type="dxa"/>
          </w:tcPr>
          <w:p>
            <w:r>
              <w:t>React 19, TypeScript, Vite, Tailwind, React Router, shadcn-style UI primitives, lucide icons.</w:t>
            </w:r>
          </w:p>
        </w:tc>
      </w:tr>
      <w:tr>
        <w:tc>
          <w:tcPr>
            <w:tcW w:w="2200" w:type="dxa"/>
          </w:tcPr>
          <w:p>
            <w:r>
              <w:t>Backend</w:t>
            </w:r>
          </w:p>
        </w:tc>
        <w:tc>
          <w:tcPr>
            <w:tcW w:w="7160" w:type="dxa"/>
          </w:tcPr>
          <w:p>
            <w:r>
              <w:t>Django 6 modular prototype using SQLite locally, Django REST Framework, Simple JWT, and session compatibility.</w:t>
            </w:r>
          </w:p>
        </w:tc>
      </w:tr>
      <w:tr>
        <w:tc>
          <w:tcPr>
            <w:tcW w:w="2200" w:type="dxa"/>
          </w:tcPr>
          <w:p>
            <w:r>
              <w:t>Product scope</w:t>
            </w:r>
          </w:p>
        </w:tc>
        <w:tc>
          <w:tcPr>
            <w:tcW w:w="7160" w:type="dxa"/>
          </w:tcPr>
          <w:p>
            <w:r>
              <w:t>Authentication, dashboard, sales, expenses, inventory, reports, profile, and project documentation.</w:t>
            </w:r>
          </w:p>
        </w:tc>
      </w:tr>
      <w:tr>
        <w:tc>
          <w:tcPr>
            <w:tcW w:w="2200" w:type="dxa"/>
          </w:tcPr>
          <w:p>
            <w:r>
              <w:t>Documentation</w:t>
            </w:r>
          </w:p>
        </w:tc>
        <w:tc>
          <w:tcPr>
            <w:tcW w:w="7160" w:type="dxa"/>
          </w:tcPr>
          <w:p>
            <w:r>
              <w:t>Knowledge base, backend reconstruction blueprint, and authentication implementation plan.</w:t>
            </w:r>
          </w:p>
        </w:tc>
      </w:tr>
    </w:tbl>
    <w:p>
      <w:r>
        <w:br w:type="page"/>
      </w:r>
    </w:p>
    <w:p>
      <w:pPr>
        <w:pStyle w:val="Heading1"/>
      </w:pPr>
      <w:r>
        <w:t>What has been built so far</w:t>
      </w:r>
    </w:p>
    <w:p>
      <w:pPr>
        <w:pStyle w:val="BodyText"/>
      </w:pPr>
      <w:r>
        <w:t>The prototype already covers the main operating loop for a trader:</w:t>
      </w:r>
    </w:p>
    <w:p>
      <w:pPr>
        <w:numPr>
          <w:ilvl w:val="0"/>
          <w:numId w:val="1"/>
        </w:numPr>
      </w:pPr>
      <w:r>
        <w:t>Register or sign in with email and password.</w:t>
      </w:r>
    </w:p>
    <w:p>
      <w:pPr>
        <w:numPr>
          <w:ilvl w:val="0"/>
          <w:numId w:val="1"/>
        </w:numPr>
      </w:pPr>
      <w:r>
        <w:t>View a dashboard with sales today, expenses today, net profit, transaction count, capital status, inventory value, recent activity, low stock, top selling item, and weekly performance.</w:t>
      </w:r>
    </w:p>
    <w:p>
      <w:pPr>
        <w:numPr>
          <w:ilvl w:val="0"/>
          <w:numId w:val="1"/>
        </w:numPr>
      </w:pPr>
      <w:r>
        <w:t>Create and delete sales records with item name, amount, quantity, and optional note.</w:t>
      </w:r>
    </w:p>
    <w:p>
      <w:pPr>
        <w:numPr>
          <w:ilvl w:val="0"/>
          <w:numId w:val="1"/>
        </w:numPr>
      </w:pPr>
      <w:r>
        <w:t>Create and delete expense records with category, amount, and optional note.</w:t>
      </w:r>
    </w:p>
    <w:p>
      <w:pPr>
        <w:numPr>
          <w:ilvl w:val="0"/>
          <w:numId w:val="1"/>
        </w:numPr>
      </w:pPr>
      <w:r>
        <w:t>Create and delete inventory items with quantity, unit, reorder level, unit cost, stock value, and low-stock state.</w:t>
      </w:r>
    </w:p>
    <w:p>
      <w:pPr>
        <w:numPr>
          <w:ilvl w:val="0"/>
          <w:numId w:val="1"/>
        </w:numPr>
      </w:pPr>
      <w:r>
        <w:t>Review simple reports for net profit, current capital, tax set-aside, and weekly movement.</w:t>
      </w:r>
    </w:p>
    <w:p>
      <w:pPr>
        <w:numPr>
          <w:ilvl w:val="0"/>
          <w:numId w:val="1"/>
        </w:numPr>
      </w:pPr>
      <w:r>
        <w:t>View profile information and sign out.</w:t>
      </w:r>
    </w:p>
    <w:tbl>
      <w:tblPr>
        <w:tblStyle w:val="TableGrid"/>
        <w:tblW w:w="9360" w:type="dxa"/>
        <w:tblInd w:w="120" w:type="dxa"/>
        <w:tblLayout w:type="fixed"/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2100"/>
        <w:gridCol w:w="1600"/>
        <w:gridCol w:w="5660"/>
      </w:tblGrid>
      <w:tr>
        <w:trPr>
          <w:tblHeader/>
        </w:trPr>
        <w:tc>
          <w:tcPr>
            <w:tcW w:w="2100" w:type="dxa"/>
            <w:shd w:fill="F2F4F7"/>
          </w:tcPr>
          <w:p>
            <w:r>
              <w:rPr>
                <w:b/>
                <w:color w:val="0B2545"/>
              </w:rPr>
              <w:t>Screen</w:t>
            </w:r>
          </w:p>
        </w:tc>
        <w:tc>
          <w:tcPr>
            <w:tcW w:w="1600" w:type="dxa"/>
            <w:shd w:fill="F2F4F7"/>
          </w:tcPr>
          <w:p>
            <w:r>
              <w:rPr>
                <w:b/>
                <w:color w:val="0B2545"/>
              </w:rPr>
              <w:t>Route</w:t>
            </w:r>
          </w:p>
        </w:tc>
        <w:tc>
          <w:tcPr>
            <w:tcW w:w="5660" w:type="dxa"/>
            <w:shd w:fill="F2F4F7"/>
          </w:tcPr>
          <w:p>
            <w:r>
              <w:rPr>
                <w:b/>
                <w:color w:val="0B2545"/>
              </w:rPr>
              <w:t>Purpose</w:t>
            </w:r>
          </w:p>
        </w:tc>
      </w:tr>
      <w:tr>
        <w:tc>
          <w:tcPr>
            <w:tcW w:w="2100" w:type="dxa"/>
          </w:tcPr>
          <w:p>
            <w:r>
              <w:t>Landing page</w:t>
            </w:r>
          </w:p>
        </w:tc>
        <w:tc>
          <w:tcPr>
            <w:tcW w:w="1600" w:type="dxa"/>
          </w:tcPr>
          <w:p>
            <w:r>
              <w:t>/</w:t>
            </w:r>
          </w:p>
        </w:tc>
        <w:tc>
          <w:tcPr>
            <w:tcW w:w="5660" w:type="dxa"/>
          </w:tcPr>
          <w:p>
            <w:r>
              <w:t>Positions MarketFlow for Nigerian traders and sends users to authentication.</w:t>
            </w:r>
          </w:p>
        </w:tc>
      </w:tr>
      <w:tr>
        <w:tc>
          <w:tcPr>
            <w:tcW w:w="2100" w:type="dxa"/>
          </w:tcPr>
          <w:p>
            <w:r>
              <w:t>Auth</w:t>
            </w:r>
          </w:p>
        </w:tc>
        <w:tc>
          <w:tcPr>
            <w:tcW w:w="1600" w:type="dxa"/>
          </w:tcPr>
          <w:p>
            <w:r>
              <w:t>/auth</w:t>
            </w:r>
          </w:p>
        </w:tc>
        <w:tc>
          <w:tcPr>
            <w:tcW w:w="5660" w:type="dxa"/>
          </w:tcPr>
          <w:p>
            <w:r>
              <w:t>Login and registration with token storage in the frontend API client.</w:t>
            </w:r>
          </w:p>
        </w:tc>
      </w:tr>
      <w:tr>
        <w:tc>
          <w:tcPr>
            <w:tcW w:w="2100" w:type="dxa"/>
          </w:tcPr>
          <w:p>
            <w:r>
              <w:t>Dashboard</w:t>
            </w:r>
          </w:p>
        </w:tc>
        <w:tc>
          <w:tcPr>
            <w:tcW w:w="1600" w:type="dxa"/>
          </w:tcPr>
          <w:p>
            <w:r>
              <w:t>/dashboard</w:t>
            </w:r>
          </w:p>
        </w:tc>
        <w:tc>
          <w:tcPr>
            <w:tcW w:w="5660" w:type="dxa"/>
          </w:tcPr>
          <w:p>
            <w:r>
              <w:t>Daily financial snapshot and activity overview.</w:t>
            </w:r>
          </w:p>
        </w:tc>
      </w:tr>
      <w:tr>
        <w:tc>
          <w:tcPr>
            <w:tcW w:w="2100" w:type="dxa"/>
          </w:tcPr>
          <w:p>
            <w:r>
              <w:t>Sales</w:t>
            </w:r>
          </w:p>
        </w:tc>
        <w:tc>
          <w:tcPr>
            <w:tcW w:w="1600" w:type="dxa"/>
          </w:tcPr>
          <w:p>
            <w:r>
              <w:t>/sales</w:t>
            </w:r>
          </w:p>
        </w:tc>
        <w:tc>
          <w:tcPr>
            <w:tcW w:w="5660" w:type="dxa"/>
          </w:tcPr>
          <w:p>
            <w:r>
              <w:t>Daily revenue capture.</w:t>
            </w:r>
          </w:p>
        </w:tc>
      </w:tr>
      <w:tr>
        <w:tc>
          <w:tcPr>
            <w:tcW w:w="2100" w:type="dxa"/>
          </w:tcPr>
          <w:p>
            <w:r>
              <w:t>Expenses</w:t>
            </w:r>
          </w:p>
        </w:tc>
        <w:tc>
          <w:tcPr>
            <w:tcW w:w="1600" w:type="dxa"/>
          </w:tcPr>
          <w:p>
            <w:r>
              <w:t>/expenses</w:t>
            </w:r>
          </w:p>
        </w:tc>
        <w:tc>
          <w:tcPr>
            <w:tcW w:w="5660" w:type="dxa"/>
          </w:tcPr>
          <w:p>
            <w:r>
              <w:t>Cost capture for profit tracking.</w:t>
            </w:r>
          </w:p>
        </w:tc>
      </w:tr>
      <w:tr>
        <w:tc>
          <w:tcPr>
            <w:tcW w:w="2100" w:type="dxa"/>
          </w:tcPr>
          <w:p>
            <w:r>
              <w:t>Inventory</w:t>
            </w:r>
          </w:p>
        </w:tc>
        <w:tc>
          <w:tcPr>
            <w:tcW w:w="1600" w:type="dxa"/>
          </w:tcPr>
          <w:p>
            <w:r>
              <w:t>/inventory</w:t>
            </w:r>
          </w:p>
        </w:tc>
        <w:tc>
          <w:tcPr>
            <w:tcW w:w="5660" w:type="dxa"/>
          </w:tcPr>
          <w:p>
            <w:r>
              <w:t>Stock visibility and low-stock alerts.</w:t>
            </w:r>
          </w:p>
        </w:tc>
      </w:tr>
      <w:tr>
        <w:tc>
          <w:tcPr>
            <w:tcW w:w="2100" w:type="dxa"/>
          </w:tcPr>
          <w:p>
            <w:r>
              <w:t>Reports</w:t>
            </w:r>
          </w:p>
        </w:tc>
        <w:tc>
          <w:tcPr>
            <w:tcW w:w="1600" w:type="dxa"/>
          </w:tcPr>
          <w:p>
            <w:r>
              <w:t>/reports</w:t>
            </w:r>
          </w:p>
        </w:tc>
        <w:tc>
          <w:tcPr>
            <w:tcW w:w="5660" w:type="dxa"/>
          </w:tcPr>
          <w:p>
            <w:r>
              <w:t>Simple profit, capital, tax set-aside, and movement reporting.</w:t>
            </w:r>
          </w:p>
        </w:tc>
      </w:tr>
      <w:tr>
        <w:tc>
          <w:tcPr>
            <w:tcW w:w="2100" w:type="dxa"/>
          </w:tcPr>
          <w:p>
            <w:r>
              <w:t>Profile</w:t>
            </w:r>
          </w:p>
        </w:tc>
        <w:tc>
          <w:tcPr>
            <w:tcW w:w="1600" w:type="dxa"/>
          </w:tcPr>
          <w:p>
            <w:r>
              <w:t>/profile</w:t>
            </w:r>
          </w:p>
        </w:tc>
        <w:tc>
          <w:tcPr>
            <w:tcW w:w="5660" w:type="dxa"/>
          </w:tcPr>
          <w:p>
            <w:r>
              <w:t>Account and business details.</w:t>
            </w:r>
          </w:p>
        </w:tc>
      </w:tr>
    </w:tbl>
    <w:p>
      <w:r>
        <w:br w:type="page"/>
      </w:r>
    </w:p>
    <w:p>
      <w:pPr>
        <w:pStyle w:val="Heading1"/>
      </w:pPr>
      <w:r>
        <w:t>Backend implementation overview</w:t>
      </w:r>
    </w:p>
    <w:p>
      <w:r>
        <w:t>The current backend is a working prototype API. Financial records are scoped directly to users, while the project documentation identifies business ownership as the target boundary for the next reconstruction phase.</w:t>
      </w:r>
    </w:p>
    <w:tbl>
      <w:tblPr>
        <w:tblStyle w:val="TableGrid"/>
        <w:tblW w:w="9360" w:type="dxa"/>
        <w:tblInd w:w="120" w:type="dxa"/>
        <w:tblLayout w:type="fixed"/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2300"/>
        <w:gridCol w:w="7060"/>
      </w:tblGrid>
      <w:tr>
        <w:trPr>
          <w:tblHeader/>
        </w:trPr>
        <w:tc>
          <w:tcPr>
            <w:tcW w:w="2300" w:type="dxa"/>
            <w:shd w:fill="F2F4F7"/>
          </w:tcPr>
          <w:p>
            <w:r>
              <w:rPr>
                <w:b/>
                <w:color w:val="0B2545"/>
              </w:rPr>
              <w:t>Model</w:t>
            </w:r>
          </w:p>
        </w:tc>
        <w:tc>
          <w:tcPr>
            <w:tcW w:w="7060" w:type="dxa"/>
            <w:shd w:fill="F2F4F7"/>
          </w:tcPr>
          <w:p>
            <w:r>
              <w:rPr>
                <w:b/>
                <w:color w:val="0B2545"/>
              </w:rPr>
              <w:t>Current responsibility</w:t>
            </w:r>
          </w:p>
        </w:tc>
      </w:tr>
      <w:tr>
        <w:tc>
          <w:tcPr>
            <w:tcW w:w="2300" w:type="dxa"/>
          </w:tcPr>
          <w:p>
            <w:r>
              <w:t>BusinessProfile</w:t>
            </w:r>
          </w:p>
        </w:tc>
        <w:tc>
          <w:tcPr>
            <w:tcW w:w="7060" w:type="dxa"/>
          </w:tcPr>
          <w:p>
            <w:r>
              <w:t>Stores business name, stall name, initial capital, and profile timestamps.</w:t>
            </w:r>
          </w:p>
        </w:tc>
      </w:tr>
      <w:tr>
        <w:tc>
          <w:tcPr>
            <w:tcW w:w="2300" w:type="dxa"/>
          </w:tcPr>
          <w:p>
            <w:r>
              <w:t>Sale</w:t>
            </w:r>
          </w:p>
        </w:tc>
        <w:tc>
          <w:tcPr>
            <w:tcW w:w="7060" w:type="dxa"/>
          </w:tcPr>
          <w:p>
            <w:r>
              <w:t>Stores user-owned sale item, amount, quantity, note, and sold timestamp.</w:t>
            </w:r>
          </w:p>
        </w:tc>
      </w:tr>
      <w:tr>
        <w:tc>
          <w:tcPr>
            <w:tcW w:w="2300" w:type="dxa"/>
          </w:tcPr>
          <w:p>
            <w:r>
              <w:t>Expense</w:t>
            </w:r>
          </w:p>
        </w:tc>
        <w:tc>
          <w:tcPr>
            <w:tcW w:w="7060" w:type="dxa"/>
          </w:tcPr>
          <w:p>
            <w:r>
              <w:t>Stores user-owned category, amount, note, and spent timestamp.</w:t>
            </w:r>
          </w:p>
        </w:tc>
      </w:tr>
      <w:tr>
        <w:tc>
          <w:tcPr>
            <w:tcW w:w="2300" w:type="dxa"/>
          </w:tcPr>
          <w:p>
            <w:r>
              <w:t>InventoryItem</w:t>
            </w:r>
          </w:p>
        </w:tc>
        <w:tc>
          <w:tcPr>
            <w:tcW w:w="7060" w:type="dxa"/>
          </w:tcPr>
          <w:p>
            <w:r>
              <w:t>Stores user-owned stock item, quantity, unit, reorder level, unit cost, and stock value basis.</w:t>
            </w:r>
          </w:p>
        </w:tc>
      </w:tr>
      <w:tr>
        <w:tc>
          <w:tcPr>
            <w:tcW w:w="2300" w:type="dxa"/>
          </w:tcPr>
          <w:p>
            <w:r>
              <w:t>OAuthIdentity</w:t>
            </w:r>
          </w:p>
        </w:tc>
        <w:tc>
          <w:tcPr>
            <w:tcW w:w="7060" w:type="dxa"/>
          </w:tcPr>
          <w:p>
            <w:r>
              <w:t>Provides a provider-neutral identity scaffold for future OAuth providers.</w:t>
            </w:r>
          </w:p>
        </w:tc>
      </w:tr>
    </w:tbl>
    <w:p>
      <w:pPr>
        <w:pStyle w:val="Heading2"/>
      </w:pPr>
      <w:r>
        <w:t>Current API surface</w:t>
      </w:r>
    </w:p>
    <w:p>
      <w:pPr>
        <w:numPr>
          <w:ilvl w:val="0"/>
          <w:numId w:val="1"/>
        </w:numPr>
      </w:pPr>
      <w:r>
        <w:t>/api/auth/register/</w:t>
      </w:r>
    </w:p>
    <w:p>
      <w:pPr>
        <w:numPr>
          <w:ilvl w:val="0"/>
          <w:numId w:val="1"/>
        </w:numPr>
      </w:pPr>
      <w:r>
        <w:t>/api/auth/login/</w:t>
      </w:r>
    </w:p>
    <w:p>
      <w:pPr>
        <w:numPr>
          <w:ilvl w:val="0"/>
          <w:numId w:val="1"/>
        </w:numPr>
      </w:pPr>
      <w:r>
        <w:t>/api/auth/logout/</w:t>
      </w:r>
    </w:p>
    <w:p>
      <w:pPr>
        <w:numPr>
          <w:ilvl w:val="0"/>
          <w:numId w:val="1"/>
        </w:numPr>
      </w:pPr>
      <w:r>
        <w:t>/api/auth/me/</w:t>
      </w:r>
    </w:p>
    <w:p>
      <w:pPr>
        <w:numPr>
          <w:ilvl w:val="0"/>
          <w:numId w:val="1"/>
        </w:numPr>
      </w:pPr>
      <w:r>
        <w:t>/api/dashboard/</w:t>
      </w:r>
    </w:p>
    <w:p>
      <w:pPr>
        <w:numPr>
          <w:ilvl w:val="0"/>
          <w:numId w:val="1"/>
        </w:numPr>
      </w:pPr>
      <w:r>
        <w:t>/api/sales/</w:t>
      </w:r>
    </w:p>
    <w:p>
      <w:pPr>
        <w:numPr>
          <w:ilvl w:val="0"/>
          <w:numId w:val="1"/>
        </w:numPr>
      </w:pPr>
      <w:r>
        <w:t>/api/expenses/</w:t>
      </w:r>
    </w:p>
    <w:p>
      <w:pPr>
        <w:numPr>
          <w:ilvl w:val="0"/>
          <w:numId w:val="1"/>
        </w:numPr>
      </w:pPr>
      <w:r>
        <w:t>/api/inventory/</w:t>
      </w:r>
    </w:p>
    <w:p>
      <w:r>
        <w:br w:type="page"/>
      </w:r>
    </w:p>
    <w:p>
      <w:pPr>
        <w:pStyle w:val="Heading1"/>
      </w:pPr>
      <w:r>
        <w:t>Important product principles</w:t>
      </w:r>
    </w:p>
    <w:p>
      <w:r>
        <w:t>The project knowledge base makes a clear distinction between user-friendly trader language and correct accounting behavior. The backend should preserve accounting distinctions even when the interface stays simple.</w:t>
      </w:r>
    </w:p>
    <w:p>
      <w:pPr>
        <w:numPr>
          <w:ilvl w:val="0"/>
          <w:numId w:val="1"/>
        </w:numPr>
      </w:pPr>
      <w:r>
        <w:t>Business should become the ownership boundary; records should not remain directly scoped only to users.</w:t>
      </w:r>
    </w:p>
    <w:p>
      <w:pPr>
        <w:numPr>
          <w:ilvl w:val="0"/>
          <w:numId w:val="1"/>
        </w:numPr>
      </w:pPr>
      <w:r>
        <w:t>Cash flow is not profit. Inventory purchases reduce cash immediately but should normally affect profit through cost of goods sold when sold.</w:t>
      </w:r>
    </w:p>
    <w:p>
      <w:pPr>
        <w:numPr>
          <w:ilvl w:val="0"/>
          <w:numId w:val="1"/>
        </w:numPr>
      </w:pPr>
      <w:r>
        <w:t>Profit, burn rate, break-even, tax estimates, trends, and forecasts should be derived by calculation services.</w:t>
      </w:r>
    </w:p>
    <w:p>
      <w:pPr>
        <w:numPr>
          <w:ilvl w:val="0"/>
          <w:numId w:val="1"/>
        </w:numPr>
      </w:pPr>
      <w:r>
        <w:t>Important financial source records need auditability through statuses, reversals, or soft deletion.</w:t>
      </w:r>
    </w:p>
    <w:p>
      <w:pPr>
        <w:numPr>
          <w:ilvl w:val="0"/>
          <w:numId w:val="1"/>
        </w:numPr>
      </w:pPr>
      <w:r>
        <w:t>Tax rules need versioning, effective dates, assumptions, and clear separation from filed tax obligations.</w:t>
      </w:r>
    </w:p>
    <w:p>
      <w:pPr>
        <w:pStyle w:val="Heading2"/>
      </w:pPr>
      <w:r>
        <w:t>Initial calculation definitions</w:t>
      </w:r>
    </w:p>
    <w:tbl>
      <w:tblPr>
        <w:tblStyle w:val="TableGrid"/>
        <w:tblW w:w="9360" w:type="dxa"/>
        <w:tblInd w:w="120" w:type="dxa"/>
        <w:tblLayout w:type="fixed"/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2300"/>
        <w:gridCol w:w="7060"/>
      </w:tblGrid>
      <w:tr>
        <w:trPr>
          <w:tblHeader/>
        </w:trPr>
        <w:tc>
          <w:tcPr>
            <w:tcW w:w="2300" w:type="dxa"/>
            <w:shd w:fill="F2F4F7"/>
          </w:tcPr>
          <w:p>
            <w:r>
              <w:rPr>
                <w:b/>
                <w:color w:val="0B2545"/>
              </w:rPr>
              <w:t>Metric</w:t>
            </w:r>
          </w:p>
        </w:tc>
        <w:tc>
          <w:tcPr>
            <w:tcW w:w="7060" w:type="dxa"/>
            <w:shd w:fill="F2F4F7"/>
          </w:tcPr>
          <w:p>
            <w:r>
              <w:rPr>
                <w:b/>
                <w:color w:val="0B2545"/>
              </w:rPr>
              <w:t>Baseline definition</w:t>
            </w:r>
          </w:p>
        </w:tc>
      </w:tr>
      <w:tr>
        <w:tc>
          <w:tcPr>
            <w:tcW w:w="2300" w:type="dxa"/>
          </w:tcPr>
          <w:p>
            <w:r>
              <w:t>Revenue</w:t>
            </w:r>
          </w:p>
        </w:tc>
        <w:tc>
          <w:tcPr>
            <w:tcW w:w="7060" w:type="dxa"/>
          </w:tcPr>
          <w:p>
            <w:r>
              <w:t>Sum of completed sale totals.</w:t>
            </w:r>
          </w:p>
        </w:tc>
      </w:tr>
      <w:tr>
        <w:tc>
          <w:tcPr>
            <w:tcW w:w="2300" w:type="dxa"/>
          </w:tcPr>
          <w:p>
            <w:r>
              <w:t>Gross profit</w:t>
            </w:r>
          </w:p>
        </w:tc>
        <w:tc>
          <w:tcPr>
            <w:tcW w:w="7060" w:type="dxa"/>
          </w:tcPr>
          <w:p>
            <w:r>
              <w:t>Revenue less cost of goods sold.</w:t>
            </w:r>
          </w:p>
        </w:tc>
      </w:tr>
      <w:tr>
        <w:tc>
          <w:tcPr>
            <w:tcW w:w="2300" w:type="dxa"/>
          </w:tcPr>
          <w:p>
            <w:r>
              <w:t>Net profit</w:t>
            </w:r>
          </w:p>
        </w:tc>
        <w:tc>
          <w:tcPr>
            <w:tcW w:w="7060" w:type="dxa"/>
          </w:tcPr>
          <w:p>
            <w:r>
              <w:t>Gross profit less operating expenses.</w:t>
            </w:r>
          </w:p>
        </w:tc>
      </w:tr>
      <w:tr>
        <w:tc>
          <w:tcPr>
            <w:tcW w:w="2300" w:type="dxa"/>
          </w:tcPr>
          <w:p>
            <w:r>
              <w:t>Cash position</w:t>
            </w:r>
          </w:p>
        </w:tc>
        <w:tc>
          <w:tcPr>
            <w:tcW w:w="7060" w:type="dxa"/>
          </w:tcPr>
          <w:p>
            <w:r>
              <w:t>Opening cash plus cash inflow less cash outflow.</w:t>
            </w:r>
          </w:p>
        </w:tc>
      </w:tr>
      <w:tr>
        <w:tc>
          <w:tcPr>
            <w:tcW w:w="2300" w:type="dxa"/>
          </w:tcPr>
          <w:p>
            <w:r>
              <w:t>Runway</w:t>
            </w:r>
          </w:p>
        </w:tc>
        <w:tc>
          <w:tcPr>
            <w:tcW w:w="7060" w:type="dxa"/>
          </w:tcPr>
          <w:p>
            <w:r>
              <w:t>Available operating cash divided by average daily burn.</w:t>
            </w:r>
          </w:p>
        </w:tc>
      </w:tr>
      <w:tr>
        <w:tc>
          <w:tcPr>
            <w:tcW w:w="2300" w:type="dxa"/>
          </w:tcPr>
          <w:p>
            <w:r>
              <w:t>Break-even</w:t>
            </w:r>
          </w:p>
        </w:tc>
        <w:tc>
          <w:tcPr>
            <w:tcW w:w="7060" w:type="dxa"/>
          </w:tcPr>
          <w:p>
            <w:r>
              <w:t>Fixed costs divided by contribution margin.</w:t>
            </w:r>
          </w:p>
        </w:tc>
      </w:tr>
    </w:tbl>
    <w:p>
      <w:r>
        <w:br w:type="page"/>
      </w:r>
    </w:p>
    <w:p>
      <w:pPr>
        <w:pStyle w:val="Heading1"/>
      </w:pPr>
      <w:r>
        <w:t>Target architecture direction</w:t>
      </w:r>
    </w:p>
    <w:p>
      <w:r>
        <w:t>The backend reconstruction blueprint proposes a modular Django monolith. The goal is to keep deployment simple while separating identity, business ownership, transaction capture, inventory, ledger, analytics, planning, tax, and forecasting responsibilities.</w:t>
      </w:r>
    </w:p>
    <w:tbl>
      <w:tblPr>
        <w:tblStyle w:val="TableGrid"/>
        <w:tblW w:w="9360" w:type="dxa"/>
        <w:tblInd w:w="120" w:type="dxa"/>
        <w:tblLayout w:type="fixed"/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2100"/>
        <w:gridCol w:w="7260"/>
      </w:tblGrid>
      <w:tr>
        <w:trPr>
          <w:tblHeader/>
        </w:trPr>
        <w:tc>
          <w:tcPr>
            <w:tcW w:w="2100" w:type="dxa"/>
            <w:shd w:fill="F2F4F7"/>
          </w:tcPr>
          <w:p>
            <w:r>
              <w:rPr>
                <w:b/>
                <w:color w:val="0B2545"/>
              </w:rPr>
              <w:t>Domain</w:t>
            </w:r>
          </w:p>
        </w:tc>
        <w:tc>
          <w:tcPr>
            <w:tcW w:w="7260" w:type="dxa"/>
            <w:shd w:fill="F2F4F7"/>
          </w:tcPr>
          <w:p>
            <w:r>
              <w:rPr>
                <w:b/>
                <w:color w:val="0B2545"/>
              </w:rPr>
              <w:t>Target responsibility</w:t>
            </w:r>
          </w:p>
        </w:tc>
      </w:tr>
      <w:tr>
        <w:tc>
          <w:tcPr>
            <w:tcW w:w="2100" w:type="dxa"/>
          </w:tcPr>
          <w:p>
            <w:r>
              <w:t>users</w:t>
            </w:r>
          </w:p>
        </w:tc>
        <w:tc>
          <w:tcPr>
            <w:tcW w:w="7260" w:type="dxa"/>
          </w:tcPr>
          <w:p>
            <w:r>
              <w:t>Identity, authentication, user preferences, and linked OAuth identities.</w:t>
            </w:r>
          </w:p>
        </w:tc>
      </w:tr>
      <w:tr>
        <w:tc>
          <w:tcPr>
            <w:tcW w:w="2100" w:type="dxa"/>
          </w:tcPr>
          <w:p>
            <w:r>
              <w:t>businesses</w:t>
            </w:r>
          </w:p>
        </w:tc>
        <w:tc>
          <w:tcPr>
            <w:tcW w:w="7260" w:type="dxa"/>
          </w:tcPr>
          <w:p>
            <w:r>
              <w:t>Businesses, stalls, memberships, roles, and permissions.</w:t>
            </w:r>
          </w:p>
        </w:tc>
      </w:tr>
      <w:tr>
        <w:tc>
          <w:tcPr>
            <w:tcW w:w="2100" w:type="dxa"/>
          </w:tcPr>
          <w:p>
            <w:r>
              <w:t>sales</w:t>
            </w:r>
          </w:p>
        </w:tc>
        <w:tc>
          <w:tcPr>
            <w:tcW w:w="7260" w:type="dxa"/>
          </w:tcPr>
          <w:p>
            <w:r>
              <w:t>Sales, sale lines, payment status, sale payments, and revenue source records.</w:t>
            </w:r>
          </w:p>
        </w:tc>
      </w:tr>
      <w:tr>
        <w:tc>
          <w:tcPr>
            <w:tcW w:w="2100" w:type="dxa"/>
          </w:tcPr>
          <w:p>
            <w:r>
              <w:t>expenses</w:t>
            </w:r>
          </w:p>
        </w:tc>
        <w:tc>
          <w:tcPr>
            <w:tcW w:w="7260" w:type="dxa"/>
          </w:tcPr>
          <w:p>
            <w:r>
              <w:t>Expense categories, classifications, payments, and cost source records.</w:t>
            </w:r>
          </w:p>
        </w:tc>
      </w:tr>
      <w:tr>
        <w:tc>
          <w:tcPr>
            <w:tcW w:w="2100" w:type="dxa"/>
          </w:tcPr>
          <w:p>
            <w:r>
              <w:t>inventory</w:t>
            </w:r>
          </w:p>
        </w:tc>
        <w:tc>
          <w:tcPr>
            <w:tcW w:w="7260" w:type="dxa"/>
          </w:tcPr>
          <w:p>
            <w:r>
              <w:t>Products, stock movements, purchases, purchasing lines, and valuation basis.</w:t>
            </w:r>
          </w:p>
        </w:tc>
      </w:tr>
      <w:tr>
        <w:tc>
          <w:tcPr>
            <w:tcW w:w="2100" w:type="dxa"/>
          </w:tcPr>
          <w:p>
            <w:r>
              <w:t>ledger</w:t>
            </w:r>
          </w:p>
        </w:tc>
        <w:tc>
          <w:tcPr>
            <w:tcW w:w="7260" w:type="dxa"/>
          </w:tcPr>
          <w:p>
            <w:r>
              <w:t>Normalized cash and capital entries that prevent profit/cash/capital confusion.</w:t>
            </w:r>
          </w:p>
        </w:tc>
      </w:tr>
      <w:tr>
        <w:tc>
          <w:tcPr>
            <w:tcW w:w="2100" w:type="dxa"/>
          </w:tcPr>
          <w:p>
            <w:r>
              <w:t>analytics</w:t>
            </w:r>
          </w:p>
        </w:tc>
        <w:tc>
          <w:tcPr>
            <w:tcW w:w="7260" w:type="dxa"/>
          </w:tcPr>
          <w:p>
            <w:r>
              <w:t>Dashboard, trend, profit, and period comparison query services.</w:t>
            </w:r>
          </w:p>
        </w:tc>
      </w:tr>
      <w:tr>
        <w:tc>
          <w:tcPr>
            <w:tcW w:w="2100" w:type="dxa"/>
          </w:tcPr>
          <w:p>
            <w:r>
              <w:t>planning</w:t>
            </w:r>
          </w:p>
        </w:tc>
        <w:tc>
          <w:tcPr>
            <w:tcW w:w="7260" w:type="dxa"/>
          </w:tcPr>
          <w:p>
            <w:r>
              <w:t>Burn rate, runway, and break-even scenarios.</w:t>
            </w:r>
          </w:p>
        </w:tc>
      </w:tr>
      <w:tr>
        <w:tc>
          <w:tcPr>
            <w:tcW w:w="2100" w:type="dxa"/>
          </w:tcPr>
          <w:p>
            <w:r>
              <w:t>taxes</w:t>
            </w:r>
          </w:p>
        </w:tc>
        <w:tc>
          <w:tcPr>
            <w:tcW w:w="7260" w:type="dxa"/>
          </w:tcPr>
          <w:p>
            <w:r>
              <w:t>Versioned VAT/FIRS estimates, assumptions, and tax rules.</w:t>
            </w:r>
          </w:p>
        </w:tc>
      </w:tr>
      <w:tr>
        <w:tc>
          <w:tcPr>
            <w:tcW w:w="2100" w:type="dxa"/>
          </w:tcPr>
          <w:p>
            <w:r>
              <w:t>forecasting</w:t>
            </w:r>
          </w:p>
        </w:tc>
        <w:tc>
          <w:tcPr>
            <w:tcW w:w="7260" w:type="dxa"/>
          </w:tcPr>
          <w:p>
            <w:r>
              <w:t>Forecast runs, assumptions, projected periods, and evaluation.</w:t>
            </w:r>
          </w:p>
        </w:tc>
      </w:tr>
    </w:tbl>
    <w:p>
      <w:r>
        <w:br w:type="page"/>
      </w:r>
    </w:p>
    <w:p>
      <w:pPr>
        <w:pStyle w:val="Heading1"/>
      </w:pPr>
      <w:r>
        <w:t>Recommended next implementation slice</w:t>
      </w:r>
    </w:p>
    <w:p>
      <w:r>
        <w:t>The next work should avoid an all-at-once rewrite. The documented direction starts with characterization and business ownership so later financial features can be built on the correct boundary.</w:t>
      </w:r>
    </w:p>
    <w:p>
      <w:pPr>
        <w:numPr>
          <w:ilvl w:val="0"/>
          <w:numId w:val="2"/>
        </w:numPr>
      </w:pPr>
      <w:r>
        <w:t>Add characterization tests for every existing API endpoint.</w:t>
      </w:r>
    </w:p>
    <w:p>
      <w:pPr>
        <w:numPr>
          <w:ilvl w:val="0"/>
          <w:numId w:val="2"/>
        </w:numPr>
      </w:pPr>
      <w:r>
        <w:t>Create businesses.Business and businesses.BusinessMembership.</w:t>
      </w:r>
    </w:p>
    <w:p>
      <w:pPr>
        <w:numPr>
          <w:ilvl w:val="0"/>
          <w:numId w:val="2"/>
        </w:numPr>
      </w:pPr>
      <w:r>
        <w:t>Complete the users app and move auth endpoints into it cleanly.</w:t>
      </w:r>
    </w:p>
    <w:p>
      <w:pPr>
        <w:numPr>
          <w:ilvl w:val="0"/>
          <w:numId w:val="2"/>
        </w:numPr>
      </w:pPr>
      <w:r>
        <w:t>Add a data migration from BusinessProfile to Business.</w:t>
      </w:r>
    </w:p>
    <w:p>
      <w:pPr>
        <w:numPr>
          <w:ilvl w:val="0"/>
          <w:numId w:val="2"/>
        </w:numPr>
      </w:pPr>
      <w:r>
        <w:t>Add nullable business ownership to existing finance records, backfill it, then make it required.</w:t>
      </w:r>
    </w:p>
    <w:p>
      <w:pPr>
        <w:numPr>
          <w:ilvl w:val="0"/>
          <w:numId w:val="2"/>
        </w:numPr>
      </w:pPr>
      <w:r>
        <w:t>Keep existing endpoint payloads unchanged until the frontend migration is planned.</w:t>
      </w:r>
    </w:p>
    <w:p>
      <w:pPr>
        <w:pStyle w:val="Heading2"/>
      </w:pPr>
      <w:r>
        <w:t>Key risks to manage</w:t>
      </w:r>
    </w:p>
    <w:p>
      <w:pPr>
        <w:numPr>
          <w:ilvl w:val="0"/>
          <w:numId w:val="1"/>
        </w:numPr>
      </w:pPr>
      <w:r>
        <w:t>Current capital is calculated as initial capital plus net profit, which is useful for prototype display but not a durable accounting model.</w:t>
      </w:r>
    </w:p>
    <w:p>
      <w:pPr>
        <w:numPr>
          <w:ilvl w:val="0"/>
          <w:numId w:val="1"/>
        </w:numPr>
      </w:pPr>
      <w:r>
        <w:t>Current deletes permanently remove source records; the target design needs auditability.</w:t>
      </w:r>
    </w:p>
    <w:p>
      <w:pPr>
        <w:numPr>
          <w:ilvl w:val="0"/>
          <w:numId w:val="1"/>
        </w:numPr>
      </w:pPr>
      <w:r>
        <w:t>Current sales do not contain sale lines, unit cost, payment status, or inventory movement links.</w:t>
      </w:r>
    </w:p>
    <w:p>
      <w:pPr>
        <w:numPr>
          <w:ilvl w:val="0"/>
          <w:numId w:val="1"/>
        </w:numPr>
      </w:pPr>
      <w:r>
        <w:t>Expense categories are free text and cannot yet support reliable burn-rate, break-even, or tax classification.</w:t>
      </w:r>
    </w:p>
    <w:p>
      <w:r>
        <w:br w:type="page"/>
      </w:r>
    </w:p>
    <w:p>
      <w:pPr>
        <w:pStyle w:val="Heading1"/>
      </w:pPr>
      <w:r>
        <w:t>Source files reviewed</w:t>
      </w:r>
    </w:p>
    <w:p>
      <w:pPr>
        <w:pStyle w:val="BodyText"/>
      </w:pPr>
      <w:r>
        <w:t>This overview was generated from repository files, not from assumptions.</w:t>
      </w:r>
    </w:p>
    <w:p>
      <w:pPr>
        <w:numPr>
          <w:ilvl w:val="0"/>
          <w:numId w:val="1"/>
        </w:numPr>
      </w:pPr>
      <w:r>
        <w:t>README.md</w:t>
      </w:r>
    </w:p>
    <w:p>
      <w:pPr>
        <w:numPr>
          <w:ilvl w:val="0"/>
          <w:numId w:val="1"/>
        </w:numPr>
      </w:pPr>
      <w:r>
        <w:t>docs/PROJECT_KNOWLEDGE_BASE.md</w:t>
      </w:r>
    </w:p>
    <w:p>
      <w:pPr>
        <w:numPr>
          <w:ilvl w:val="0"/>
          <w:numId w:val="1"/>
        </w:numPr>
      </w:pPr>
      <w:r>
        <w:t>docs/BACKEND_RECONSTRUCTION_BLUEPRINT.md</w:t>
      </w:r>
    </w:p>
    <w:p>
      <w:pPr>
        <w:numPr>
          <w:ilvl w:val="0"/>
          <w:numId w:val="1"/>
        </w:numPr>
      </w:pPr>
      <w:r>
        <w:t>docs/AUTHENTICATION_IMPLEMENTATION_PLAN.md</w:t>
      </w:r>
    </w:p>
    <w:p>
      <w:pPr>
        <w:numPr>
          <w:ilvl w:val="0"/>
          <w:numId w:val="1"/>
        </w:numPr>
      </w:pPr>
      <w:r>
        <w:t>backend/finance/models.py and backend/finance/views.py</w:t>
      </w:r>
    </w:p>
    <w:p>
      <w:pPr>
        <w:numPr>
          <w:ilvl w:val="0"/>
          <w:numId w:val="1"/>
        </w:numPr>
      </w:pPr>
      <w:r>
        <w:t>backend/users/models.py, serializers.py, services.py, and views.py</w:t>
      </w:r>
    </w:p>
    <w:p>
      <w:pPr>
        <w:numPr>
          <w:ilvl w:val="0"/>
          <w:numId w:val="1"/>
        </w:numPr>
      </w:pPr>
      <w:r>
        <w:t>cashflow_frontend/src/App.tsx, src/lib/api.ts, and implemented page components</w:t>
      </w:r>
    </w:p>
    <w:p>
      <w:pPr>
        <w:pStyle w:val="Heading2"/>
      </w:pPr>
      <w:r>
        <w:t>Document note</w:t>
      </w:r>
    </w:p>
    <w:p>
      <w:r>
        <w:t>A separate slide-style PDF already exists at docs/project-overview-output/marketflow-project-overview.pdf. This DOCX version is optimized for Word review, editing, and handoff.</w:t>
      </w:r>
    </w:p>
    <w:sectPr>
      <w:headerReference w:type="default" r:id="rId6"/>
      <w:footerReference w:type="default" r:id="rId7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oter1.xml><?xml version="1.0" encoding="utf-8"?>
<w:ftr xmlns:w="http://schemas.openxmlformats.org/wordprocessingml/2006/main">
  <w:p>
    <w:pPr>
      <w:jc w:val="right"/>
    </w:pPr>
    <w:r>
      <w:rPr>
        <w:sz w:val="18"/>
        <w:color w:val="777777"/>
      </w:rPr>
      <w:t>cashflow_analyzer</w:t>
    </w:r>
  </w:p>
</w:ftr>
</file>

<file path=word/header1.xml><?xml version="1.0" encoding="utf-8"?>
<w:hdr xmlns:w="http://schemas.openxmlformats.org/wordprocessingml/2006/main">
  <w:p>
    <w:pPr>
      <w:jc w:val="right"/>
      <w:spacing w:after="80"/>
    </w:pPr>
    <w:r>
      <w:rPr>
        <w:sz w:val="18"/>
        <w:color w:val="777777"/>
      </w:rPr>
      <w:t>MarketFlow Project Overview</w:t>
    </w:r>
  </w:p>
</w:hdr>
</file>

<file path=word/numbering.xml><?xml version="1.0" encoding="utf-8"?>
<w:numbering xmlns:w="http://schemas.openxmlformats.org/wordprocessingml/2006/main">
  <w:abstractNum w:abstractNumId="1">
    <w:multiLevelType w:val="single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  <w:spacing w:after="120" w:line="280" w:lineRule="auto"/>
      </w:pPr>
    </w:lvl>
  </w:abstractNum>
  <w:abstractNum w:abstractNumId="2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20" w:line="280" w:lineRule="auto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  <w:color w:val="1B1B18"/>
      </w:rPr>
    </w:rPrDefault>
    <w:pPrDefault>
      <w:pPr>
        <w:spacing w:after="120" w:line="264" w:lineRule="auto"/>
      </w:pPr>
    </w:pPrDefault>
  </w:docDefaults>
  <w:style w:type="paragraph" w:default="1" w:styleId="Normal">
    <w:name w:val="Normal"/>
    <w:qFormat/>
    <w:pPr>
      <w:spacing w:after="120" w:line="264" w:lineRule="auto"/>
    </w:pPr>
    <w:rPr>
      <w:rFonts w:ascii="Calibri" w:hAnsi="Calibri"/>
      <w:sz w:val="22"/>
      <w:color w:val="1B1B18"/>
    </w:rPr>
  </w:style>
  <w:style w:type="paragraph" w:styleId="Title">
    <w:name w:val="Title"/>
    <w:basedOn w:val="Normal"/>
    <w:qFormat/>
    <w:pPr>
      <w:spacing w:before="0" w:after="120"/>
    </w:pPr>
    <w:rPr>
      <w:rFonts w:ascii="Calibri Light" w:hAnsi="Calibri Light"/>
      <w:b/>
      <w:sz w:val="56"/>
      <w:color w:val="0B2545"/>
    </w:rPr>
  </w:style>
  <w:style w:type="paragraph" w:styleId="Subtitle">
    <w:name w:val="Subtitle"/>
    <w:basedOn w:val="Normal"/>
    <w:qFormat/>
    <w:pPr>
      <w:spacing w:after="360"/>
    </w:pPr>
    <w:rPr>
      <w:rFonts w:ascii="Calibri" w:hAnsi="Calibri"/>
      <w:sz w:val="28"/>
      <w:color w:val="555555"/>
    </w:rPr>
  </w:style>
  <w:style w:type="paragraph" w:styleId="Meta">
    <w:name w:val="Meta"/>
    <w:basedOn w:val="Normal"/>
    <w:pPr>
      <w:spacing w:after="300"/>
    </w:pPr>
    <w:rPr>
      <w:b/>
      <w:sz w:val="20"/>
      <w:color w:val="7A5A00"/>
    </w:rPr>
  </w:style>
  <w:style w:type="paragraph" w:styleId="Heading1">
    <w:name w:val="heading 1"/>
    <w:basedOn w:val="Normal"/>
    <w:next w:val="Normal"/>
    <w:qFormat/>
    <w:pPr>
      <w:keepNext/>
      <w:spacing w:before="320" w:after="160"/>
    </w:pPr>
    <w:rPr>
      <w:b/>
      <w:sz w:val="32"/>
      <w:color w:val="2E74B5"/>
    </w:rPr>
  </w:style>
  <w:style w:type="paragraph" w:styleId="Heading2">
    <w:name w:val="heading 2"/>
    <w:basedOn w:val="Normal"/>
    <w:next w:val="Normal"/>
    <w:qFormat/>
    <w:pPr>
      <w:keepNext/>
      <w:spacing w:before="240" w:after="120"/>
    </w:pPr>
    <w:rPr>
      <w:b/>
      <w:sz w:val="26"/>
      <w:color w:val="2E74B5"/>
    </w:rPr>
  </w:style>
  <w:style w:type="paragraph" w:styleId="BodyText">
    <w:name w:val="Body Text"/>
    <w:basedOn w:val="Normal"/>
    <w:pPr>
      <w:spacing w:after="120" w:line="264" w:lineRule="auto"/>
    </w:pPr>
    <w:rPr>
      <w:sz w:val="22"/>
      <w:color w:val="1B1B18"/>
    </w:rPr>
  </w:style>
  <w:style w:type="table" w:styleId="TableGrid">
    <w:name w:val="Table Grid"/>
    <w:tblPr>
      <w:tblBorders>
        <w:top w:val="single" w:sz="4" w:space="0" w:color="D7DBE2"/>
        <w:left w:val="single" w:sz="4" w:space="0" w:color="D7DBE2"/>
        <w:bottom w:val="single" w:sz="4" w:space="0" w:color="D7DBE2"/>
        <w:right w:val="single" w:sz="4" w:space="0" w:color="D7DBE2"/>
        <w:insideH w:val="single" w:sz="4" w:space="0" w:color="D7DBE2"/>
        <w:insideV w:val="single" w:sz="4" w:space="0" w:color="D7DBE2"/>
      </w:tblBorders>
    </w:tblPr>
  </w:style>
</w:styles>
</file>

<file path=word/_rels/document.xml.rels><?xml version="1.0" encoding="UTF-8" standalone="yes"?>
<Relationships xmlns="http://schemas.openxmlformats.org/package/2006/relationships">
<Relationship Id="rId4" Type="http://schemas.openxmlformats.org/officeDocument/2006/relationships/styles" Target="styles.xml"/>
<Relationship Id="rId5" Type="http://schemas.openxmlformats.org/officeDocument/2006/relationships/numbering" Target="numbering.xml"/>
<Relationship Id="rId6" Type="http://schemas.openxmlformats.org/officeDocument/2006/relationships/header" Target="header1.xml"/>
<Relationship Id="rId7" Type="http://schemas.openxmlformats.org/officeDocument/2006/relationships/footer" Target="footer1.xml"/>
<Relationship Id="rId8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MarketFlow Project Overview</dc:title>
  <dc:creator>Codex</dc:creator>
  <cp:lastModifiedBy>Codex</cp:lastModifiedBy>
  <dcterms:created xsi:type="dcterms:W3CDTF">2026-06-21T06:47:34Z</dcterms:created>
  <dcterms:modified xsi:type="dcterms:W3CDTF">2026-06-21T06:47:34Z</dcterms:modified>
</cp:coreProperties>
</file>