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_rels/chart5.xml.rels" ContentType="application/vnd.openxmlformats-package.relationships+xml"/>
  <Override PartName="/word/charts/_rels/chart6.xml.rels" ContentType="application/vnd.openxmlformats-package.relationships+xml"/>
  <Override PartName="/word/charts/_rels/chart4.xml.rels" ContentType="application/vnd.openxmlformats-package.relationships+xml"/>
  <Override PartName="/word/charts/_rels/chart3.xml.rels" ContentType="application/vnd.openxmlformats-package.relationships+xml"/>
  <Override PartName="/word/charts/_rels/chart2.xml.rels" ContentType="application/vnd.openxmlformats-package.relationships+xml"/>
  <Override PartName="/word/charts/_rels/chart1.xml.rels" ContentType="application/vnd.openxmlformats-package.relationship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embeddings/Workbook2.xlsx" ContentType="application/vnd.openxmlformats-officedocument.spreadsheetml.sheet"/>
  <Override PartName="/word/embeddings/Workbook1.xlsx" ContentType="application/vnd.openxmlformats-officedocument.spreadsheetml.sheet"/>
  <Override PartName="/word/embeddings/Workbook6.xlsx" ContentType="application/vnd.openxmlformats-officedocument.spreadsheetml.sheet"/>
  <Override PartName="/word/embeddings/Workbook4.xlsx" ContentType="application/vnd.openxmlformats-officedocument.spreadsheetml.sheet"/>
  <Override PartName="/word/embeddings/Workbook3.xlsx" ContentType="application/vnd.openxmlformats-officedocument.spreadsheetml.sheet"/>
  <Override PartName="/word/embeddings/Workbook5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自动替换文本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${</w:t>
      </w:r>
      <w:r>
        <w:rPr>
          <w:lang w:val="en-US" w:eastAsia="zh-CN"/>
        </w:rPr>
        <w:t>名字</w:t>
      </w:r>
      <w:r>
        <w:rPr>
          <w:lang w:val="en-US" w:eastAsia="zh-CN"/>
        </w:rPr>
        <w:t>}</w:t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自动替换图片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${</w:t>
      </w:r>
      <w:r>
        <w:rPr>
          <w:lang w:val="en-US" w:eastAsia="zh-CN"/>
        </w:rPr>
        <w:t>图片</w:t>
      </w:r>
      <w:r>
        <w:rPr>
          <w:lang w:val="en-US" w:eastAsia="zh-CN"/>
        </w:rPr>
        <w:t>}</w:t>
      </w:r>
    </w:p>
    <w:p>
      <w:pPr>
        <w:pStyle w:val="Normal"/>
        <w:bidi w:val="0"/>
        <w:rPr>
          <w:lang w:val="en-US" w:eastAsia="zh-CN"/>
        </w:rPr>
      </w:pPr>
      <w:r>
        <w:rPr/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动态图表数据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单列条形图</w:t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239385" cy="176085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单列柱状图</w:t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278120" cy="1981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 xml:space="preserve"> 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多列柱状图</w:t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285740" cy="2134235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多条折线图</w:t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307965" cy="204978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饼图</w:t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337175" cy="227838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  <w:t>柱状图</w:t>
      </w:r>
      <w:r>
        <w:rPr>
          <w:lang w:val="en-US" w:eastAsia="zh-CN"/>
        </w:rPr>
        <w:t>+</w:t>
      </w:r>
      <w:r>
        <w:rPr>
          <w:lang w:val="en-US" w:eastAsia="zh-CN"/>
        </w:rPr>
        <w:t>折线图</w:t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/>
        <w:drawing>
          <wp:inline distT="0" distB="0" distL="0" distR="0">
            <wp:extent cx="5323840" cy="256794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bidi w:val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bidi w:val="0"/>
        <w:rPr>
          <w:lang w:val="en-US" w:eastAsia="zh-CN"/>
        </w:rPr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" w:cs="宋体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Lucida Sans"/>
    </w:rPr>
  </w:style>
  <w:style w:type="table" w:default="1" w:styleId="2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Workbook1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Workbook2.xlsx"/>
</Relationships>
</file>

<file path=word/charts/_rels/chart3.xml.rels><?xml version="1.0" encoding="UTF-8"?>
<Relationships xmlns="http://schemas.openxmlformats.org/package/2006/relationships"><Relationship Id="rId1" Type="http://schemas.openxmlformats.org/officeDocument/2006/relationships/package" Target="../embeddings/Workbook6.xlsx"/>
</Relationships>
</file>

<file path=word/charts/_rels/chart4.xml.rels><?xml version="1.0" encoding="UTF-8"?>
<Relationships xmlns="http://schemas.openxmlformats.org/package/2006/relationships"><Relationship Id="rId1" Type="http://schemas.openxmlformats.org/officeDocument/2006/relationships/package" Target="../embeddings/Workbook4.xlsx"/>
</Relationships>
</file>

<file path=word/charts/_rels/chart5.xml.rels><?xml version="1.0" encoding="UTF-8"?>
<Relationships xmlns="http://schemas.openxmlformats.org/package/2006/relationships"><Relationship Id="rId1" Type="http://schemas.openxmlformats.org/officeDocument/2006/relationships/package" Target="../embeddings/Workbook5.xlsx"/>
</Relationships>
</file>

<file path=word/charts/_rels/chart6.xml.rels><?xml version="1.0" encoding="UTF-8"?>
<Relationships xmlns="http://schemas.openxmlformats.org/package/2006/relationships"><Relationship Id="rId1" Type="http://schemas.openxmlformats.org/officeDocument/2006/relationships/package" Target="../embeddings/Workbook3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params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金额2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金额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gapWidth val="150"/>
        <c:overlap val="100"/>
        <c:axId val="41140233"/>
        <c:axId val="19622123"/>
      </c:barChart>
      <c:catAx>
        <c:axId val="41140233"/>
        <c:scaling>
          <c:orientation val="minMax"/>
        </c:scaling>
        <c:delete val="0"/>
        <c:axPos val="b"/>
        <c:numFmt formatCode="[$-804]yyyy/m/d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9622123"/>
        <c:crosses val="autoZero"/>
        <c:auto val="1"/>
        <c:lblAlgn val="ctr"/>
        <c:lblOffset val="100"/>
        <c:noMultiLvlLbl val="0"/>
      </c:catAx>
      <c:valAx>
        <c:axId val="19622123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1140233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系列 1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金额2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金额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</c:numCache>
            </c:numRef>
          </c:val>
        </c:ser>
        <c:gapWidth val="219"/>
        <c:overlap val="-27"/>
        <c:axId val="18968122"/>
        <c:axId val="48948107"/>
      </c:barChart>
      <c:catAx>
        <c:axId val="18968122"/>
        <c:scaling>
          <c:orientation val="minMax"/>
        </c:scaling>
        <c:delete val="0"/>
        <c:axPos val="b"/>
        <c:numFmt formatCode="[$-804]yyyy/m/d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48948107"/>
        <c:crosses val="autoZero"/>
        <c:auto val="1"/>
        <c:lblAlgn val="ctr"/>
        <c:lblOffset val="100"/>
        <c:noMultiLvlLbl val="0"/>
      </c:catAx>
      <c:valAx>
        <c:axId val="48948107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968122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图表标题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存款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存款2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gapWidth val="219"/>
        <c:overlap val="-27"/>
        <c:axId val="18785005"/>
        <c:axId val="10142462"/>
      </c:barChart>
      <c:catAx>
        <c:axId val="18785005"/>
        <c:scaling>
          <c:orientation val="minMax"/>
        </c:scaling>
        <c:delete val="0"/>
        <c:axPos val="b"/>
        <c:numFmt formatCode="[$-804]yyyy/m/d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0142462"/>
        <c:crosses val="autoZero"/>
        <c:auto val="1"/>
        <c:lblAlgn val="ctr"/>
        <c:lblOffset val="100"/>
        <c:noMultiLvlLbl val="0"/>
      </c:catAx>
      <c:valAx>
        <c:axId val="10142462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785005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标题4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lineChart>
        <c:grouping val="standar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rgbClr val="5b9bd5"/>
            </a:solidFill>
            <a:ln cap="rnd" w="28440">
              <a:solidFill>
                <a:srgbClr val="5b9bd5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出差费用</c:v>
                </c:pt>
                <c:pt idx="1">
                  <c:v>住宿费用</c:v>
                </c:pt>
                <c:pt idx="2">
                  <c:v>材料费用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rgbClr val="ff420e"/>
            </a:solidFill>
            <a:ln w="28800">
              <a:solidFill>
                <a:srgbClr val="ff420e"/>
              </a:solidFill>
              <a:round/>
            </a:ln>
          </c:spPr>
          <c:marker>
            <c:symbol val="none"/>
          </c:marker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3"/>
                <c:pt idx="0">
                  <c:v>出差费用</c:v>
                </c:pt>
                <c:pt idx="1">
                  <c:v>住宿费用</c:v>
                </c:pt>
                <c:pt idx="2">
                  <c:v>材料费用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3"/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83732470"/>
        <c:axId val="90453204"/>
      </c:lineChart>
      <c:catAx>
        <c:axId val="83732470"/>
        <c:scaling>
          <c:orientation val="minMax"/>
        </c:scaling>
        <c:delete val="0"/>
        <c:axPos val="b"/>
        <c:numFmt formatCode="[$-804]yyyy/m/d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0453204"/>
        <c:crosses val="autoZero"/>
        <c:auto val="1"/>
        <c:lblAlgn val="ctr"/>
        <c:lblOffset val="100"/>
        <c:noMultiLvlLbl val="0"/>
      </c:catAx>
      <c:valAx>
        <c:axId val="90453204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83732470"/>
        <c:crosses val="autoZero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latin typeface="Calibri"/>
              </a:rPr>
              <a:t>销售额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金额</c:v>
                </c:pt>
              </c:strCache>
            </c:strRef>
          </c:tx>
          <c:spPr>
            <a:solidFill>
              <a:srgbClr val="ff420e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004586"/>
              </a:solidFill>
              <a:ln w="0">
                <a:noFill/>
              </a:ln>
            </c:spPr>
          </c:dPt>
          <c:dPt>
            <c:idx val="1"/>
            <c:spPr>
              <a:solidFill>
                <a:srgbClr val="ff420e"/>
              </a:solidFill>
              <a:ln w="0">
                <a:noFill/>
              </a:ln>
            </c:spPr>
          </c:dPt>
          <c:dPt>
            <c:idx val="2"/>
            <c:spPr>
              <a:solidFill>
                <a:srgbClr val="ffd320"/>
              </a:solidFill>
              <a:ln w="0">
                <a:noFill/>
              </a:ln>
            </c:spPr>
          </c:dPt>
          <c:dPt>
            <c:idx val="3"/>
            <c:spPr>
              <a:solidFill>
                <a:srgbClr val="579d1c"/>
              </a:solidFill>
              <a:ln w="0">
                <a:noFill/>
              </a:ln>
            </c:spPr>
          </c:dPt>
          <c:dLbls>
            <c:dLbl>
              <c:idx val="0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1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dLbl>
              <c:idx val="3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bestFit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bestFit"/>
            <c:showLegendKey val="0"/>
            <c:showVal val="0"/>
            <c:showCatName val="0"/>
            <c:showSerName val="0"/>
            <c:showPercent val="0"/>
            <c:separator> </c:separator>
            <c:showLeaderLines val="0"/>
          </c:dLbls>
          <c:cat>
            <c:strRef>
              <c:f>categories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金额2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explosion val="0"/>
          <c:dPt>
            <c:idx val="0"/>
            <c:spPr>
              <a:solidFill>
                <a:srgbClr val="5b9bd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1"/>
            <c:spPr>
              <a:solidFill>
                <a:srgbClr val="ed7d31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2"/>
            <c:spPr>
              <a:solidFill>
                <a:srgbClr val="a5a5a5"/>
              </a:solidFill>
              <a:ln w="19080">
                <a:solidFill>
                  <a:srgbClr val="ffffff"/>
                </a:solidFill>
                <a:round/>
              </a:ln>
            </c:spPr>
          </c:dPt>
          <c:dPt>
            <c:idx val="3"/>
            <c:spPr>
              <a:solidFill>
                <a:srgbClr val="ffc000"/>
              </a:solidFill>
              <a:ln w="19080">
                <a:solidFill>
                  <a:srgbClr val="ffffff"/>
                </a:solidFill>
                <a:round/>
              </a:ln>
            </c:spPr>
          </c:dPt>
          <c:dLbls>
            <c:numFmt formatCode="General" sourceLinked="1"/>
            <c:dLbl>
              <c:idx val="0"/>
              <c:numFmt formatCode="General" sourceLinked="1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eparator>; </c:separator>
            </c:dLbl>
            <c:dLbl>
              <c:idx val="1"/>
              <c:numFmt formatCode="General" sourceLinked="1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eparator>; </c:separator>
            </c:dLbl>
            <c:dLbl>
              <c:idx val="2"/>
              <c:numFmt formatCode="General" sourceLinked="1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eparator>; </c:separator>
            </c:dLbl>
            <c:dLbl>
              <c:idx val="3"/>
              <c:numFmt formatCode="General" sourceLinked="1"/>
              <c:txPr>
                <a:bodyPr wrap="square"/>
                <a:lstStyle/>
                <a:p>
                  <a:pPr>
                    <a:defRPr b="0" sz="900" spc="-1" strike="noStrike">
                      <a:solidFill>
                        <a:srgbClr val="404040"/>
                      </a:solidFill>
                      <a:latin typeface="Calibri"/>
                    </a:defRPr>
                  </a:pPr>
                </a:p>
              </c:txPr>
              <c:dLblPos val="bestFit"/>
              <c:showLegendKey val="0"/>
              <c:showVal val="1"/>
              <c:showCatName val="0"/>
              <c:showSerName val="0"/>
              <c:showPercent val="1"/>
              <c:separator>; </c:separator>
            </c:dLbl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bestFit"/>
            <c:showLegendKey val="0"/>
            <c:showVal val="1"/>
            <c:showCatName val="0"/>
            <c:showSerName val="0"/>
            <c:showPercent val="1"/>
            <c:separator>; </c:separator>
            <c:showLeaderLines val="0"/>
          </c:dLbls>
          <c:cat>
            <c:strRef>
              <c:f>categories</c:f>
              <c:strCache>
                <c:ptCount val="4"/>
                <c:pt idx="0">
                  <c:v>第一季度</c:v>
                </c:pt>
                <c:pt idx="1">
                  <c:v>第二季度</c:v>
                </c:pt>
                <c:pt idx="2">
                  <c:v>第三季度</c:v>
                </c:pt>
                <c:pt idx="3">
                  <c:v>第四季度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4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</c:numCache>
            </c:numRef>
          </c:val>
        </c:ser>
        <c:firstSliceAng val="0"/>
      </c:pieChart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300" spc="-1" strike="noStrike">
                <a:solidFill>
                  <a:srgbClr val="000000"/>
                </a:solidFill>
                <a:latin typeface="Arial"/>
              </a:defRPr>
            </a:pPr>
            <a:r>
              <a:rPr b="0" sz="1300" spc="-1" strike="noStrike">
                <a:solidFill>
                  <a:srgbClr val="000000"/>
                </a:solidFill>
                <a:latin typeface="Arial"/>
              </a:rPr>
              <a:t>标题6</a:t>
            </a:r>
          </a:p>
        </c:rich>
      </c:tx>
      <c:overlay val="0"/>
      <c:spPr>
        <a:noFill/>
        <a:ln w="0">
          <a:noFill/>
        </a:ln>
      </c:spPr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投诉受理量（次）</c:v>
                </c:pt>
              </c:strCache>
            </c:strRef>
          </c:tx>
          <c:spPr>
            <a:solidFill>
              <a:srgbClr val="5b9bd5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预处理拦截工单量（次）</c:v>
                </c:pt>
              </c:strCache>
            </c:strRef>
          </c:tx>
          <c:spPr>
            <a:solidFill>
              <a:srgbClr val="ed7d31"/>
            </a:solidFill>
            <a:ln w="0">
              <a:noFill/>
            </a:ln>
          </c:spPr>
          <c:invertIfNegative val="0"/>
          <c:dLbls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outEnd"/>
            <c:showLegendKey val="0"/>
            <c:showVal val="0"/>
            <c:showCatName val="0"/>
            <c:showSerName val="0"/>
            <c:showPercent val="0"/>
            <c:separator>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</c:ser>
        <c:gapWidth val="219"/>
        <c:overlap val="-27"/>
        <c:axId val="69056814"/>
        <c:axId val="18972421"/>
      </c:barChart>
      <c:lineChart>
        <c:grouping val="standard"/>
        <c:varyColors val="0"/>
        <c:ser>
          <c:idx val="2"/>
          <c:order val="2"/>
          <c:tx>
            <c:strRef>
              <c:f>label 2</c:f>
              <c:strCache>
                <c:ptCount val="1"/>
                <c:pt idx="0">
                  <c:v>拦截率</c:v>
                </c:pt>
              </c:strCache>
            </c:strRef>
          </c:tx>
          <c:spPr>
            <a:solidFill>
              <a:srgbClr val="a5a5a5"/>
            </a:solidFill>
            <a:ln cap="rnd" w="28440">
              <a:solidFill>
                <a:srgbClr val="a5a5a5"/>
              </a:solidFill>
              <a:round/>
            </a:ln>
          </c:spPr>
          <c:marker>
            <c:symbol val="none"/>
          </c:marker>
          <c:dLbls>
            <c:numFmt formatCode="General" sourceLinked="0"/>
            <c:txPr>
              <a:bodyPr wrap="square"/>
              <a:lstStyle/>
              <a:p>
                <a:pPr>
                  <a:defRPr b="0" sz="900" spc="-1" strike="noStrike">
                    <a:solidFill>
                      <a:srgbClr val="404040"/>
                    </a:solidFill>
                    <a:latin typeface="Calibri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eparator>; </c:separator>
            <c:showLeaderLines val="0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cat>
            <c:strRef>
              <c:f>categories</c:f>
              <c:strCache>
                <c:ptCount val="12"/>
                <c:pt idx="0">
                  <c:v>通辽</c:v>
                </c:pt>
                <c:pt idx="1">
                  <c:v>呼和浩特</c:v>
                </c:pt>
                <c:pt idx="2">
                  <c:v>锡林郭勒</c:v>
                </c:pt>
                <c:pt idx="3">
                  <c:v>阿拉善</c:v>
                </c:pt>
                <c:pt idx="4">
                  <c:v>巴彦淖尔</c:v>
                </c:pt>
                <c:pt idx="5">
                  <c:v>兴安</c:v>
                </c:pt>
                <c:pt idx="6">
                  <c:v>乌兰察布</c:v>
                </c:pt>
                <c:pt idx="7">
                  <c:v>乌海</c:v>
                </c:pt>
                <c:pt idx="8">
                  <c:v>赤峰</c:v>
                </c:pt>
                <c:pt idx="9">
                  <c:v>包头</c:v>
                </c:pt>
                <c:pt idx="10">
                  <c:v>呼伦贝尔</c:v>
                </c:pt>
                <c:pt idx="11">
                  <c:v>鄂尔多斯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2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</c:numCache>
            </c:numRef>
          </c:val>
          <c:smooth val="0"/>
        </c:ser>
        <c:hiLowLines>
          <c:spPr>
            <a:ln w="0">
              <a:noFill/>
            </a:ln>
          </c:spPr>
        </c:hiLowLines>
        <c:marker val="0"/>
        <c:axId val="9184990"/>
        <c:axId val="70985656"/>
      </c:lineChart>
      <c:catAx>
        <c:axId val="69056814"/>
        <c:scaling>
          <c:orientation val="minMax"/>
        </c:scaling>
        <c:delete val="0"/>
        <c:axPos val="b"/>
        <c:numFmt formatCode="[$-804]yyyy/m/d" sourceLinked="0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18972421"/>
        <c:crosses val="autoZero"/>
        <c:auto val="1"/>
        <c:lblAlgn val="ctr"/>
        <c:lblOffset val="100"/>
        <c:noMultiLvlLbl val="0"/>
      </c:catAx>
      <c:valAx>
        <c:axId val="18972421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69056814"/>
        <c:crosses val="autoZero"/>
        <c:crossBetween val="between"/>
      </c:valAx>
      <c:catAx>
        <c:axId val="9184990"/>
        <c:scaling>
          <c:orientation val="minMax"/>
        </c:scaling>
        <c:delete val="1"/>
        <c:axPos val="t"/>
        <c:numFmt formatCode="[$-804]yyyy/m/d" sourceLinked="1"/>
        <c:majorTickMark val="none"/>
        <c:minorTickMark val="none"/>
        <c:tickLblPos val="nextTo"/>
        <c:spPr>
          <a:ln w="6480">
            <a:solidFill>
              <a:srgbClr val="8b8b8b"/>
            </a:solidFill>
            <a:round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70985656"/>
        <c:auto val="1"/>
        <c:lblAlgn val="ctr"/>
        <c:lblOffset val="100"/>
        <c:noMultiLvlLbl val="0"/>
      </c:catAx>
      <c:valAx>
        <c:axId val="70985656"/>
        <c:scaling>
          <c:orientation val="minMax"/>
        </c:scaling>
        <c:delete val="0"/>
        <c:axPos val="r"/>
        <c:numFmt formatCode="General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lstStyle/>
          <a:p>
            <a:pPr>
              <a:defRPr b="0" sz="900" spc="-1" strike="noStrike">
                <a:solidFill>
                  <a:srgbClr val="595959"/>
                </a:solidFill>
                <a:latin typeface="Calibri"/>
              </a:defRPr>
            </a:pPr>
          </a:p>
        </c:txPr>
        <c:crossAx val="9184990"/>
        <c:crosses val="max"/>
        <c:crossBetween val="between"/>
      </c:valAx>
      <c:spPr>
        <a:noFill/>
        <a:ln w="0">
          <a:noFill/>
        </a:ln>
      </c:spPr>
    </c:plotArea>
    <c:legend>
      <c:legendPos val="b"/>
      <c:overlay val="0"/>
      <c:spPr>
        <a:noFill/>
        <a:ln w="0">
          <a:noFill/>
        </a:ln>
      </c:spPr>
      <c:txPr>
        <a:bodyPr/>
        <a:lstStyle/>
        <a:p>
          <a:pPr>
            <a:defRPr b="0" sz="900" spc="-1" strike="noStrike">
              <a:solidFill>
                <a:srgbClr val="595959"/>
              </a:solidFill>
              <a:latin typeface="Calibri"/>
            </a:defRPr>
          </a:pPr>
        </a:p>
      </c:txPr>
    </c:legend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LibreOffice/7.0.4.2$Linux_X86_64 LibreOffice_project/00$Build-2</Application>
  <AppVersion>15.0000</AppVersion>
  <Pages>2</Pages>
  <Words>55</Words>
  <Characters>57</Characters>
  <CharactersWithSpaces>58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zhj</dc:creator>
  <dc:description/>
  <dc:language>zh-CN</dc:language>
  <cp:lastModifiedBy>杨 启东</cp:lastModifiedBy>
  <dcterms:modified xsi:type="dcterms:W3CDTF">2023-11-24T10:45:06Z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