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jc w:val="left"/>
      </w:pPr>
      <w:r>
        <w:drawing>
          <wp:inline xmlns:a="http://schemas.openxmlformats.org/drawingml/2006/main" xmlns:pic="http://schemas.openxmlformats.org/drawingml/2006/picture">
            <wp:extent cx="1508760" cy="429431"/>
            <wp:docPr id="1" name="Picture 1" title="Logo BinaHub" descr="Logo perusahaan BinaHub"/>
            <wp:cNvGraphicFramePr>
              <a:graphicFrameLocks noChangeAspect="1"/>
            </wp:cNvGraphicFramePr>
            <a:graphic>
              <a:graphicData uri="http://schemas.openxmlformats.org/drawingml/2006/picture">
                <pic:pic>
                  <pic:nvPicPr>
                    <pic:cNvPr id="0" name="full-logo.png"/>
                    <pic:cNvPicPr/>
                  </pic:nvPicPr>
                  <pic:blipFill>
                    <a:blip r:embed="rId11"/>
                    <a:stretch>
                      <a:fillRect/>
                    </a:stretch>
                  </pic:blipFill>
                  <pic:spPr>
                    <a:xfrm>
                      <a:off x="0" y="0"/>
                      <a:ext cx="1508760" cy="429431"/>
                    </a:xfrm>
                    <a:prstGeom prst="rect"/>
                  </pic:spPr>
                </pic:pic>
              </a:graphicData>
            </a:graphic>
          </wp:inline>
        </w:drawing>
      </w:r>
    </w:p>
    <w:p>
      <w:pPr>
        <w:keepNext/>
        <w:spacing w:before="0" w:after="60" w:line="264" w:lineRule="auto"/>
      </w:pPr>
      <w:r>
        <w:rPr>
          <w:rFonts w:ascii="Arial" w:hAnsi="Arial"/>
          <w:b/>
          <w:i w:val="0"/>
          <w:color w:val="D9A441"/>
          <w:sz w:val="18"/>
        </w:rPr>
        <w:t>EXECUTIVE DECISION FORM</w:t>
      </w:r>
    </w:p>
    <w:p>
      <w:pPr>
        <w:keepNext/>
        <w:spacing w:before="0" w:after="160" w:line="264" w:lineRule="auto"/>
      </w:pPr>
      <w:r>
        <w:rPr>
          <w:rFonts w:ascii="Arial" w:hAnsi="Arial"/>
          <w:b/>
          <w:i w:val="0"/>
          <w:color w:val="0B2C6B"/>
          <w:sz w:val="58"/>
        </w:rPr>
        <w:t>Business Rules v1</w:t>
      </w:r>
    </w:p>
    <w:p>
      <w:pPr>
        <w:keepNext/>
        <w:spacing w:before="0" w:after="440" w:line="264" w:lineRule="auto"/>
      </w:pPr>
      <w:r>
        <w:rPr>
          <w:rFonts w:ascii="Arial" w:hAnsi="Arial"/>
          <w:b w:val="0"/>
          <w:i w:val="0"/>
          <w:color w:val="607087"/>
          <w:sz w:val="28"/>
        </w:rPr>
        <w:t>Data resmi untuk BinaHub AI Business Process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FF8E8"/>
          </w:tcPr>
          <w:p>
            <w:pPr>
              <w:keepNext w:val="0"/>
              <w:spacing w:before="0" w:after="60" w:line="264" w:lineRule="auto"/>
            </w:pPr>
            <w:r>
              <w:rPr>
                <w:rFonts w:ascii="Arial" w:hAnsi="Arial"/>
                <w:b/>
                <w:i w:val="0"/>
                <w:color w:val="7A5A00"/>
                <w:sz w:val="21"/>
              </w:rPr>
              <w:t>Keputusan yang diminta</w:t>
            </w:r>
          </w:p>
          <w:p>
            <w:pPr>
              <w:keepNext w:val="0"/>
              <w:spacing w:before="0" w:after="0" w:line="276" w:lineRule="auto"/>
            </w:pPr>
            <w:r>
              <w:rPr>
                <w:rFonts w:ascii="Arial" w:hAnsi="Arial"/>
                <w:b w:val="0"/>
                <w:i w:val="0"/>
                <w:color w:val="24364B"/>
                <w:sz w:val="20"/>
              </w:rPr>
              <w:t>Mohon lengkapi atau koreksi baseline pada dokumen ini. Jawaban yang disetujui akan menggantikan data mock dan menjadi acuan resmi sistem, AI, proposal, follow-up, serta human approval.</w:t>
            </w:r>
          </w:p>
        </w:tc>
      </w:tr>
    </w:tbl>
    <w:p>
      <w:pPr>
        <w:spacing w:after="20"/>
      </w:pPr>
    </w:p>
    <w:tbl>
      <w:tblPr>
        <w:tblW w:type="dxa" w:w="9360"/>
        <w:tblLayout w:type="fixed"/>
        <w:tblLook w:firstColumn="1" w:firstRow="1" w:lastColumn="0" w:lastRow="0" w:noHBand="0" w:noVBand="1" w:val="04A0"/>
        <w:jc w:val="left"/>
        <w:tblInd w:w="120" w:type="dxa"/>
      </w:tblPr>
      <w:tblGrid>
        <w:gridCol w:w="2400"/>
        <w:gridCol w:w="6960"/>
      </w:tblGrid>
      <w:tr>
        <w:trPr>
          <w:cantSplit/>
          <w:tblHeader w:val="true"/>
          <w:cantSplit/>
        </w:trPr>
        <w:tc>
          <w:tcPr>
            <w:tcW w:type="dxa" w:w="24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Dokumen</w:t>
            </w:r>
          </w:p>
        </w:tc>
        <w:tc>
          <w:tcPr>
            <w:tcW w:type="dxa" w:w="69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Nilai</w:t>
            </w:r>
          </w:p>
        </w:tc>
      </w:tr>
      <w:tr>
        <w:trPr>
          <w:cantSplit/>
        </w:trPr>
        <w:tc>
          <w:tcPr>
            <w:tcW w:type="dxa" w:w="24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Ditujukan kepada</w:t>
            </w:r>
          </w:p>
        </w:tc>
        <w:tc>
          <w:tcPr>
            <w:tcW w:type="dxa" w:w="69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Pimpinan / Pengambil Keputusan BinaHub</w:t>
            </w:r>
          </w:p>
        </w:tc>
      </w:tr>
      <w:tr>
        <w:trPr>
          <w:cantSplit/>
        </w:trPr>
        <w:tc>
          <w:tcPr>
            <w:tcW w:type="dxa" w:w="24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Disiapkan oleh</w:t>
            </w:r>
          </w:p>
        </w:tc>
        <w:tc>
          <w:tcPr>
            <w:tcW w:type="dxa" w:w="69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9"/>
              </w:rPr>
              <w:t>[Nama/PIC pengumpul keputusan]</w:t>
            </w:r>
          </w:p>
        </w:tc>
      </w:tr>
      <w:tr>
        <w:trPr>
          <w:cantSplit/>
        </w:trPr>
        <w:tc>
          <w:tcPr>
            <w:tcW w:type="dxa" w:w="24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Batas pengembalian</w:t>
            </w:r>
          </w:p>
        </w:tc>
        <w:tc>
          <w:tcPr>
            <w:tcW w:type="dxa" w:w="69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9"/>
              </w:rPr>
              <w:t>[Tanggal]</w:t>
            </w:r>
          </w:p>
        </w:tc>
      </w:tr>
      <w:tr>
        <w:trPr>
          <w:cantSplit/>
        </w:trPr>
        <w:tc>
          <w:tcPr>
            <w:tcW w:type="dxa" w:w="24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Versi setelah disetujui</w:t>
            </w:r>
          </w:p>
        </w:tc>
        <w:tc>
          <w:tcPr>
            <w:tcW w:type="dxa" w:w="69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Business Rules v1</w:t>
            </w:r>
          </w:p>
        </w:tc>
      </w:tr>
      <w:tr>
        <w:trPr>
          <w:cantSplit/>
        </w:trPr>
        <w:tc>
          <w:tcPr>
            <w:tcW w:type="dxa" w:w="24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Status sementara</w:t>
            </w:r>
          </w:p>
        </w:tc>
        <w:tc>
          <w:tcPr>
            <w:tcW w:type="dxa" w:w="69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Sistem tetap memakai Business Rules v0.1 Mock</w:t>
            </w:r>
          </w:p>
        </w:tc>
      </w:tr>
    </w:tbl>
    <w:p>
      <w:pPr>
        <w:spacing w:after="20"/>
      </w:pPr>
    </w:p>
    <w:p>
      <w:pPr>
        <w:pStyle w:val="Heading1"/>
      </w:pPr>
      <w:r>
        <w:t>Cara Mengisi</w:t>
      </w:r>
    </w:p>
    <w:tbl>
      <w:tblPr>
        <w:tblW w:type="dxa" w:w="9360"/>
        <w:tblLayout w:type="fixed"/>
        <w:tblLook w:firstColumn="1" w:firstRow="1" w:lastColumn="0" w:lastRow="0" w:noHBand="0" w:noVBand="1" w:val="04A0"/>
        <w:jc w:val="left"/>
        <w:tblInd w:w="120" w:type="dxa"/>
      </w:tblPr>
      <w:tblGrid>
        <w:gridCol w:w="1050"/>
        <w:gridCol w:w="8310"/>
      </w:tblGrid>
      <w:tr>
        <w:trPr>
          <w:cantSplit/>
          <w:tblHeader w:val="true"/>
          <w:cantSplit/>
        </w:trPr>
        <w:tc>
          <w:tcPr>
            <w:tcW w:type="dxa" w:w="10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1F4D78"/>
          </w:tcPr>
          <w:p>
            <w:pPr>
              <w:keepNext w:val="0"/>
              <w:spacing w:before="0" w:after="0" w:line="240" w:lineRule="auto"/>
            </w:pPr>
            <w:r>
              <w:rPr>
                <w:rFonts w:ascii="Arial" w:hAnsi="Arial"/>
                <w:b/>
                <w:i w:val="0"/>
                <w:color w:val="FFFFFF"/>
                <w:sz w:val="18"/>
              </w:rPr>
              <w:t>Langkah</w:t>
            </w:r>
          </w:p>
        </w:tc>
        <w:tc>
          <w:tcPr>
            <w:tcW w:type="dxa" w:w="8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1F4D78"/>
          </w:tcPr>
          <w:p>
            <w:pPr>
              <w:keepNext w:val="0"/>
              <w:spacing w:before="0" w:after="0" w:line="240" w:lineRule="auto"/>
            </w:pPr>
            <w:r>
              <w:rPr>
                <w:rFonts w:ascii="Arial" w:hAnsi="Arial"/>
                <w:b/>
                <w:i w:val="0"/>
                <w:color w:val="FFFFFF"/>
                <w:sz w:val="18"/>
              </w:rPr>
              <w:t>Tindakan Pimpinan</w:t>
            </w:r>
          </w:p>
        </w:tc>
      </w:tr>
      <w:tr>
        <w:trPr>
          <w:cantSplit/>
        </w:trPr>
        <w:tc>
          <w:tcPr>
            <w:tcW w:type="dxa" w:w="10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1</w:t>
            </w:r>
          </w:p>
        </w:tc>
        <w:tc>
          <w:tcPr>
            <w:tcW w:type="dxa" w:w="83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Pilih Setujui baseline, Revisi, atau Tidak berlaku pada setiap bagian.</w:t>
            </w:r>
          </w:p>
        </w:tc>
      </w:tr>
      <w:tr>
        <w:trPr>
          <w:cantSplit/>
        </w:trPr>
        <w:tc>
          <w:tcPr>
            <w:tcW w:type="dxa" w:w="10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2</w:t>
            </w:r>
          </w:p>
        </w:tc>
        <w:tc>
          <w:tcPr>
            <w:tcW w:type="dxa" w:w="8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Isi angka, nama owner, batas keputusan, dan pengecualian yang masih kosong.</w:t>
            </w:r>
          </w:p>
        </w:tc>
      </w:tr>
      <w:tr>
        <w:trPr>
          <w:cantSplit/>
        </w:trPr>
        <w:tc>
          <w:tcPr>
            <w:tcW w:type="dxa" w:w="10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3</w:t>
            </w:r>
          </w:p>
        </w:tc>
        <w:tc>
          <w:tcPr>
            <w:tcW w:type="dxa" w:w="83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Beri catatan jika aturan berbeda untuk segmen, modul, atau jenis klien tertentu.</w:t>
            </w:r>
          </w:p>
        </w:tc>
      </w:tr>
      <w:tr>
        <w:trPr>
          <w:cantSplit/>
        </w:trPr>
        <w:tc>
          <w:tcPr>
            <w:tcW w:type="dxa" w:w="10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4</w:t>
            </w:r>
          </w:p>
        </w:tc>
        <w:tc>
          <w:tcPr>
            <w:tcW w:type="dxa" w:w="8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9"/>
              </w:rPr>
              <w:t>Lengkapi halaman Persetujuan Akhir agar data dapat dipindahkan ke sistem.</w:t>
            </w:r>
          </w:p>
        </w:tc>
      </w:tr>
    </w:tbl>
    <w:p>
      <w:pPr>
        <w:spacing w:after="20"/>
      </w:pPr>
    </w:p>
    <w:p>
      <w:pPr>
        <w:keepNext w:val="0"/>
        <w:spacing w:before="0" w:after="0" w:line="264" w:lineRule="auto"/>
        <w:jc w:val="left"/>
      </w:pPr>
      <w:r>
        <w:rPr>
          <w:rFonts w:ascii="Arial" w:hAnsi="Arial"/>
          <w:b/>
          <w:i w:val="0"/>
          <w:color w:val="9B1C1C"/>
          <w:sz w:val="19"/>
        </w:rPr>
        <w:t>Catatan: nominal pada kolom baseline adalah simulasi internal dan belum boleh dikirim sebagai harga resmi kepada calon klien.</w:t>
      </w:r>
    </w:p>
    <w:p>
      <w:r>
        <w:br w:type="page"/>
      </w:r>
    </w:p>
    <w:p>
      <w:pPr>
        <w:keepNext/>
        <w:spacing w:before="0" w:after="60" w:line="264" w:lineRule="auto"/>
      </w:pPr>
      <w:r>
        <w:rPr>
          <w:rFonts w:ascii="Arial" w:hAnsi="Arial"/>
          <w:b/>
          <w:i w:val="0"/>
          <w:color w:val="D9A441"/>
          <w:sz w:val="18"/>
        </w:rPr>
        <w:t>BAGIAN 1 DARI 5</w:t>
      </w:r>
    </w:p>
    <w:p>
      <w:pPr>
        <w:pStyle w:val="Heading1"/>
      </w:pPr>
      <w:r>
        <w:t>Ideal Customer Profile</w:t>
      </w:r>
    </w:p>
    <w:p>
      <w:pPr>
        <w:keepNext w:val="0"/>
        <w:spacing w:before="0" w:after="200" w:line="276" w:lineRule="auto"/>
      </w:pPr>
      <w:r>
        <w:rPr>
          <w:rFonts w:ascii="Arial" w:hAnsi="Arial"/>
          <w:b w:val="0"/>
          <w:i w:val="0"/>
          <w:color w:val="607087"/>
          <w:sz w:val="21"/>
        </w:rPr>
        <w:t>Tentukan siapa yang paling layak diprioritaskan, siapa yang masih dapat diterima, dan siapa yang harus dikecualikan dari automasi.</w:t>
      </w:r>
    </w:p>
    <w:p>
      <w:pPr>
        <w:keepNext/>
        <w:spacing w:before="60" w:after="60" w:line="264" w:lineRule="auto"/>
      </w:pPr>
      <w:r>
        <w:rPr>
          <w:rFonts w:ascii="Arial" w:hAnsi="Arial"/>
          <w:b/>
          <w:i w:val="0"/>
          <w:color w:val="0B2C6B"/>
          <w:sz w:val="20"/>
        </w:rPr>
        <w:t>BR-ICP-01 — Tiga industri prioritas utama</w:t>
      </w:r>
      <w:r>
        <w:rPr>
          <w:rFonts w:ascii="Arial" w:hAnsi="Arial"/>
          <w:b w:val="0"/>
          <w:i/>
          <w:color w:val="607087"/>
          <w:sz w:val="18"/>
        </w:rPr>
        <w:t xml:space="preserve">  Urutkan berdasarkan prioritas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[1. Industri]   [2. Industri]   [3. Industri]</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BR-ICP-02 — Industri prioritas sekunder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[Isi industri lain yang masih relevan]</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BR-ICP-03 — Ukuran perusahaan target</w:t>
      </w:r>
      <w:r>
        <w:rPr>
          <w:rFonts w:ascii="Arial" w:hAnsi="Arial"/>
          <w:b w:val="0"/>
          <w:i/>
          <w:color w:val="607087"/>
          <w:sz w:val="18"/>
        </w:rPr>
        <w:t xml:space="preserve">  Baseline mock: 50–1.000 karyawan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[Minimum karyawan]  sampai  [Maksimum karyawan]</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BR-ICP-04 — Lokasi prioritas</w:t>
      </w:r>
      <w:r>
        <w:rPr>
          <w:rFonts w:ascii="Arial" w:hAnsi="Arial"/>
          <w:b w:val="0"/>
          <w:i/>
          <w:color w:val="607087"/>
          <w:sz w:val="18"/>
        </w:rPr>
        <w:t xml:space="preserve">  Baseline mock: Indonesia, prioritas Jabodetabek dan kota besar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[Wilayah/kota/negara]</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BR-ICP-05 — Jabatan decision maker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[Jabatan yang memiliki authority dan budget]</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BR-ICP-06 — Jabatan champion/influencer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[Jabatan yang mendorong proses tetapi bukan final approver]</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BR-ICP-07 — Minimum buying signals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[Contoh: kebutuhan jelas, timeline, budget, meeting, sponsor internal]</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BR-ICP-08 — Exclusion list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[Industri, tipe organisasi, jenis permintaan, atau profil yang tidak boleh diproses]</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pStyle w:val="Heading2"/>
      </w:pPr>
      <w:r>
        <w:t>Konfirmasi Lead Classification</w:t>
      </w:r>
    </w:p>
    <w:tbl>
      <w:tblPr>
        <w:tblW w:type="dxa" w:w="9360"/>
        <w:tblLayout w:type="fixed"/>
        <w:tblLook w:firstColumn="1" w:firstRow="1" w:lastColumn="0" w:lastRow="0" w:noHBand="0" w:noVBand="1" w:val="04A0"/>
        <w:jc w:val="left"/>
        <w:tblInd w:w="120" w:type="dxa"/>
      </w:tblPr>
      <w:tblGrid>
        <w:gridCol w:w="1300"/>
        <w:gridCol w:w="1700"/>
        <w:gridCol w:w="2200"/>
        <w:gridCol w:w="4160"/>
      </w:tblGrid>
      <w:tr>
        <w:trPr>
          <w:cantSplit/>
          <w:tblHeader w:val="true"/>
          <w:cantSplit/>
        </w:trPr>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Kelas</w:t>
            </w:r>
          </w:p>
        </w:tc>
        <w:tc>
          <w:tcPr>
            <w:tcW w:type="dxa" w:w="17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Baseline mock</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Threshold resmi pimpinan</w:t>
            </w:r>
          </w:p>
        </w:tc>
        <w:tc>
          <w:tcPr>
            <w:tcW w:type="dxa" w:w="41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Catatan</w:t>
            </w:r>
          </w:p>
        </w:tc>
      </w:tr>
      <w:tr>
        <w:trPr>
          <w:cantSplit/>
        </w:trPr>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8"/>
              </w:rPr>
              <w:t>Hot</w:t>
            </w:r>
          </w:p>
        </w:tc>
        <w:tc>
          <w:tcPr>
            <w:tcW w:type="dxa" w:w="17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8"/>
              </w:rPr>
              <w:t>75–100</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w:t>
            </w:r>
          </w:p>
        </w:tc>
        <w:tc>
          <w:tcPr>
            <w:tcW w:type="dxa" w:w="41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 kondisi minimum]</w:t>
            </w:r>
          </w:p>
        </w:tc>
      </w:tr>
      <w:tr>
        <w:trPr>
          <w:cantSplit/>
        </w:trPr>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8"/>
              </w:rPr>
              <w:t>Warm</w:t>
            </w:r>
          </w:p>
        </w:tc>
        <w:tc>
          <w:tcPr>
            <w:tcW w:type="dxa" w:w="17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8"/>
              </w:rPr>
              <w:t>50–74</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w:t>
            </w:r>
          </w:p>
        </w:tc>
        <w:tc>
          <w:tcPr>
            <w:tcW w:type="dxa" w:w="41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 kondisi minimum]</w:t>
            </w:r>
          </w:p>
        </w:tc>
      </w:tr>
      <w:tr>
        <w:trPr>
          <w:cantSplit/>
        </w:trPr>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8"/>
              </w:rPr>
              <w:t>Cold</w:t>
            </w:r>
          </w:p>
        </w:tc>
        <w:tc>
          <w:tcPr>
            <w:tcW w:type="dxa" w:w="17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8"/>
              </w:rPr>
              <w:t>0–49</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w:t>
            </w:r>
          </w:p>
        </w:tc>
        <w:tc>
          <w:tcPr>
            <w:tcW w:type="dxa" w:w="41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 kondisi minimum]</w:t>
            </w:r>
          </w:p>
        </w:tc>
      </w:tr>
    </w:tbl>
    <w:p>
      <w:pPr>
        <w:spacing w:after="20"/>
      </w:pPr>
    </w:p>
    <w:p>
      <w:pPr>
        <w:keepNext/>
        <w:spacing w:before="60" w:after="60" w:line="264" w:lineRule="auto"/>
      </w:pPr>
      <w:r>
        <w:rPr>
          <w:rFonts w:ascii="Arial" w:hAnsi="Arial"/>
          <w:b/>
          <w:i w:val="0"/>
          <w:color w:val="0B2C6B"/>
          <w:sz w:val="20"/>
        </w:rPr>
        <w:t>BR-ICP-09 — Keputusan atas baseline scoring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 ] Setujui baseline    [ ] Revisi    [ ] Tidak berlaku</w:t>
            </w:r>
          </w:p>
        </w:tc>
      </w:tr>
    </w:tbl>
    <w:p>
      <w:pPr>
        <w:spacing w:after="20"/>
      </w:pPr>
    </w:p>
    <w:p>
      <w:pPr>
        <w:keepNext/>
        <w:spacing w:before="0" w:after="60" w:line="264" w:lineRule="auto"/>
      </w:pPr>
      <w:r>
        <w:rPr>
          <w:rFonts w:ascii="Arial" w:hAnsi="Arial"/>
          <w:b/>
          <w:i w:val="0"/>
          <w:color w:val="D9A441"/>
          <w:sz w:val="18"/>
        </w:rPr>
        <w:t>BAGIAN 2 DARI 5</w:t>
      </w:r>
    </w:p>
    <w:p>
      <w:pPr>
        <w:pStyle w:val="Heading1"/>
      </w:pPr>
      <w:r>
        <w:t>Katalog Modul dan Pricing Resmi</w:t>
      </w:r>
    </w:p>
    <w:p>
      <w:pPr>
        <w:keepNext w:val="0"/>
        <w:spacing w:before="0" w:after="200" w:line="276" w:lineRule="auto"/>
      </w:pPr>
      <w:r>
        <w:rPr>
          <w:rFonts w:ascii="Arial" w:hAnsi="Arial"/>
          <w:b w:val="0"/>
          <w:i w:val="0"/>
          <w:color w:val="607087"/>
          <w:sz w:val="21"/>
        </w:rPr>
        <w:t>Produk seperti BinaPlay, BinaLab, atau BinaAcademy adalah payung solusi. Unit yang dipilih klien dan diberi harga adalah modul di dalam produk tersebut. Karena katalog masih dalam tahap perancangan dan pengembangan, bagian ini digunakan untuk membentuk daftar modul secara bertahap, bukan menetapkan harga berdasarkan nama produk.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EAF0F7"/>
          </w:tcPr>
          <w:p>
            <w:pPr>
              <w:keepNext w:val="0"/>
              <w:spacing w:before="0" w:after="60" w:line="264" w:lineRule="auto"/>
            </w:pPr>
            <w:r>
              <w:rPr>
                <w:rFonts w:ascii="Arial" w:hAnsi="Arial"/>
                <w:b/>
                <w:i w:val="0"/>
                <w:color w:val="0B2C6B"/>
                <w:sz w:val="21"/>
              </w:rPr>
              <w:t>Struktur komersial yang digunakan</w:t>
            </w:r>
          </w:p>
          <w:p>
            <w:pPr>
              <w:keepNext w:val="0"/>
              <w:spacing w:before="0" w:after="0" w:line="276" w:lineRule="auto"/>
            </w:pPr>
            <w:r>
              <w:rPr>
                <w:rFonts w:ascii="Arial" w:hAnsi="Arial"/>
                <w:b w:val="0"/>
                <w:i w:val="0"/>
                <w:color w:val="24364B"/>
                <w:sz w:val="20"/>
              </w:rPr>
              <w:t>Produk = kelompok solusi. Modul = unit layanan yang dapat dipilih dan diberi harga. Paket/bundle = gabungan beberapa modul. Hanya modul berstatus siap dijual dan telah disetujui yang boleh masuk proposal otomatis.</w:t>
            </w:r>
          </w:p>
        </w:tc>
      </w:tr>
    </w:tbl>
    <w:p>
      <w:pPr>
        <w:spacing w:after="20"/>
      </w:pPr>
    </w:p>
    <w:p>
      <w:pPr>
        <w:pStyle w:val="Heading2"/>
      </w:pPr>
      <w:r>
        <w:t>Peta Produk</w:t>
      </w:r>
    </w:p>
    <w:p>
      <w:pPr>
        <w:keepNext w:val="0"/>
        <w:spacing w:before="0" w:after="80" w:line="264" w:lineRule="auto"/>
        <w:jc w:val="left"/>
      </w:pPr>
      <w:r>
        <w:rPr>
          <w:rFonts w:ascii="Arial" w:hAnsi="Arial"/>
          <w:b w:val="0"/>
          <w:i w:val="0"/>
          <w:color w:val="607087"/>
          <w:sz w:val="18"/>
        </w:rPr>
        <w:t>Pilihan status: Konsep, Desain, Development, atau Siap.</w:t>
      </w:r>
    </w:p>
    <w:tbl>
      <w:tblPr>
        <w:tblW w:type="dxa" w:w="9360"/>
        <w:tblLayout w:type="fixed"/>
        <w:tblLook w:firstColumn="1" w:firstRow="1" w:lastColumn="0" w:lastRow="0" w:noHBand="0" w:noVBand="1" w:val="04A0"/>
        <w:jc w:val="left"/>
        <w:tblInd w:w="120" w:type="dxa"/>
      </w:tblPr>
      <w:tblGrid>
        <w:gridCol w:w="1800"/>
        <w:gridCol w:w="2100"/>
        <w:gridCol w:w="2300"/>
        <w:gridCol w:w="3160"/>
      </w:tblGrid>
      <w:tr>
        <w:trPr>
          <w:cantSplit/>
          <w:tblHeader w:val="true"/>
          <w:cantSplit/>
        </w:trPr>
        <w:tc>
          <w:tcPr>
            <w:tcW w:type="dxa" w:w="1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Produk / payung solusi</w:t>
            </w:r>
          </w:p>
        </w:tc>
        <w:tc>
          <w:tcPr>
            <w:tcW w:type="dxa" w:w="2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Status saat ini</w:t>
            </w:r>
          </w:p>
        </w:tc>
        <w:tc>
          <w:tcPr>
            <w:tcW w:type="dxa" w:w="2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Tujuan / segmen</w:t>
            </w:r>
          </w:p>
        </w:tc>
        <w:tc>
          <w:tcPr>
            <w:tcW w:type="dxa" w:w="31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Catatan</w:t>
            </w:r>
          </w:p>
        </w:tc>
      </w:tr>
      <w:tr>
        <w:trPr>
          <w:cantSplit/>
        </w:trPr>
        <w:tc>
          <w:tcPr>
            <w:tcW w:type="dxa" w:w="1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BinaInsight</w:t>
            </w:r>
          </w:p>
        </w:tc>
        <w:tc>
          <w:tcPr>
            <w:tcW w:type="dxa" w:w="2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6"/>
              </w:rPr>
              <w:t>Assessment publik tetap gratis; layanan korporat dapat memiliki modul berbayar</w:t>
            </w:r>
          </w:p>
        </w:tc>
      </w:tr>
      <w:tr>
        <w:trPr>
          <w:cantSplit/>
        </w:trPr>
        <w:tc>
          <w:tcPr>
            <w:tcW w:type="dxa" w:w="1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BinaLab</w:t>
            </w:r>
          </w:p>
        </w:tc>
        <w:tc>
          <w:tcPr>
            <w:tcW w:type="dxa" w:w="2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r>
      <w:tr>
        <w:trPr>
          <w:cantSplit/>
        </w:trPr>
        <w:tc>
          <w:tcPr>
            <w:tcW w:type="dxa" w:w="1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BinaCoach</w:t>
            </w:r>
          </w:p>
        </w:tc>
        <w:tc>
          <w:tcPr>
            <w:tcW w:type="dxa" w:w="2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r>
      <w:tr>
        <w:trPr>
          <w:cantSplit/>
        </w:trPr>
        <w:tc>
          <w:tcPr>
            <w:tcW w:type="dxa" w:w="1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BinaPlay</w:t>
            </w:r>
          </w:p>
        </w:tc>
        <w:tc>
          <w:tcPr>
            <w:tcW w:type="dxa" w:w="2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r>
      <w:tr>
        <w:trPr>
          <w:cantSplit/>
        </w:trPr>
        <w:tc>
          <w:tcPr>
            <w:tcW w:type="dxa" w:w="1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BinaAcademy</w:t>
            </w:r>
          </w:p>
        </w:tc>
        <w:tc>
          <w:tcPr>
            <w:tcW w:type="dxa" w:w="2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r>
      <w:tr>
        <w:trPr>
          <w:cantSplit/>
        </w:trPr>
        <w:tc>
          <w:tcPr>
            <w:tcW w:type="dxa" w:w="1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BinaWorks</w:t>
            </w:r>
          </w:p>
        </w:tc>
        <w:tc>
          <w:tcPr>
            <w:tcW w:type="dxa" w:w="2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r>
      <w:tr>
        <w:trPr>
          <w:cantSplit/>
        </w:trPr>
        <w:tc>
          <w:tcPr>
            <w:tcW w:type="dxa" w:w="1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6"/>
              </w:rPr>
              <w:t>BinaImpact</w:t>
            </w:r>
          </w:p>
        </w:tc>
        <w:tc>
          <w:tcPr>
            <w:tcW w:type="dxa" w:w="2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[Pilih]</w:t>
            </w:r>
          </w:p>
        </w:tc>
        <w:tc>
          <w:tcPr>
            <w:tcW w:type="dxa" w:w="2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c>
          <w:tcPr>
            <w:tcW w:type="dxa" w:w="31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6"/>
              </w:rPr>
              <w:t>[Isi]</w:t>
            </w:r>
          </w:p>
        </w:tc>
      </w:tr>
    </w:tbl>
    <w:p>
      <w:pPr>
        <w:spacing w:after="20"/>
      </w:pPr>
    </w:p>
    <w:p>
      <w:pPr>
        <w:pStyle w:val="Heading2"/>
      </w:pPr>
      <w:r>
        <w:t>Daftar Modul yang Akan Dijual</w:t>
      </w:r>
    </w:p>
    <w:p>
      <w:pPr>
        <w:keepNext w:val="0"/>
        <w:spacing w:before="0" w:after="80" w:line="264" w:lineRule="auto"/>
        <w:jc w:val="left"/>
      </w:pPr>
      <w:r>
        <w:rPr>
          <w:rFonts w:ascii="Arial" w:hAnsi="Arial"/>
          <w:b w:val="0"/>
          <w:i w:val="0"/>
          <w:color w:val="607087"/>
          <w:sz w:val="18"/>
        </w:rPr>
        <w:t>Satuan harga dapat berupa per sesi, peserta, proyek, batch, atau satuan lain. Pilihan status modul: Riset, Desain, Development, Uji, atau Siap dijual.</w:t>
      </w:r>
    </w:p>
    <w:tbl>
      <w:tblPr>
        <w:tblW w:type="dxa" w:w="9360"/>
        <w:tblLayout w:type="fixed"/>
        <w:tblLook w:firstColumn="1" w:firstRow="1" w:lastColumn="0" w:lastRow="0" w:noHBand="0" w:noVBand="1" w:val="04A0"/>
        <w:jc w:val="left"/>
        <w:tblInd w:w="120" w:type="dxa"/>
      </w:tblPr>
      <w:tblGrid>
        <w:gridCol w:w="1100"/>
        <w:gridCol w:w="1450"/>
        <w:gridCol w:w="2650"/>
        <w:gridCol w:w="1550"/>
        <w:gridCol w:w="1300"/>
        <w:gridCol w:w="1310"/>
      </w:tblGrid>
      <w:tr>
        <w:trPr>
          <w:cantSplit/>
          <w:tblHeader w:val="true"/>
          <w:cantSplit/>
        </w:trPr>
        <w:tc>
          <w:tcPr>
            <w:tcW w:type="dxa" w:w="1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Produk</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Nama modul</w:t>
            </w:r>
          </w:p>
        </w:tc>
        <w:tc>
          <w:tcPr>
            <w:tcW w:type="dxa" w:w="26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Output / scope standar</w:t>
            </w:r>
          </w:p>
        </w:tc>
        <w:tc>
          <w:tcPr>
            <w:tcW w:type="dxa" w:w="15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Unit harga</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Harga dasar</w:t>
            </w:r>
          </w:p>
        </w:tc>
        <w:tc>
          <w:tcPr>
            <w:tcW w:type="dxa" w:w="1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Status</w:t>
            </w:r>
          </w:p>
        </w:tc>
      </w:tr>
      <w:tr>
        <w:trPr>
          <w:cantSplit/>
        </w:trPr>
        <w:tc>
          <w:tcPr>
            <w:tcW w:type="dxa" w:w="1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 deliverable dan batas scope]</w:t>
            </w:r>
          </w:p>
        </w:tc>
        <w:tc>
          <w:tcPr>
            <w:tcW w:type="dxa" w:w="15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 unit]</w:t>
            </w:r>
          </w:p>
        </w:tc>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[Pilih]</w:t>
            </w:r>
          </w:p>
        </w:tc>
      </w:tr>
      <w:tr>
        <w:trPr>
          <w:cantSplit/>
        </w:trPr>
        <w:tc>
          <w:tcPr>
            <w:tcW w:type="dxa" w:w="1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r>
        <w:trPr>
          <w:cantSplit/>
        </w:trPr>
        <w:tc>
          <w:tcPr>
            <w:tcW w:type="dxa" w:w="1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r>
        <w:trPr>
          <w:cantSplit/>
        </w:trPr>
        <w:tc>
          <w:tcPr>
            <w:tcW w:type="dxa" w:w="1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r>
        <w:trPr>
          <w:cantSplit/>
        </w:trPr>
        <w:tc>
          <w:tcPr>
            <w:tcW w:type="dxa" w:w="1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r>
        <w:trPr>
          <w:cantSplit/>
        </w:trPr>
        <w:tc>
          <w:tcPr>
            <w:tcW w:type="dxa" w:w="1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r>
        <w:trPr>
          <w:cantSplit/>
        </w:trPr>
        <w:tc>
          <w:tcPr>
            <w:tcW w:type="dxa" w:w="11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r>
        <w:trPr>
          <w:cantSplit/>
        </w:trPr>
        <w:tc>
          <w:tcPr>
            <w:tcW w:type="dxa" w:w="11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color w:val="5C6B7A"/>
                <w:sz w:val="15"/>
              </w:rPr>
              <w:t>[Isi]</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26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5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5"/>
              </w:rPr>
              <w:t>Rp [Isi]</w:t>
            </w:r>
          </w:p>
        </w:tc>
        <w:tc>
          <w:tcPr>
            <w:tcW w:type="dxa" w:w="13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5"/>
              </w:rPr>
              <w:t>[Isi]</w:t>
            </w:r>
          </w:p>
        </w:tc>
      </w:tr>
    </w:tbl>
    <w:p>
      <w:pPr>
        <w:spacing w:after="20"/>
      </w:pPr>
    </w:p>
    <w:p>
      <w:pPr>
        <w:keepNext/>
        <w:spacing w:before="60" w:after="60" w:line="264" w:lineRule="auto"/>
      </w:pPr>
      <w:r>
        <w:rPr>
          <w:rFonts w:ascii="Arial" w:hAnsi="Arial"/>
          <w:b/>
          <w:i w:val="0"/>
          <w:color w:val="0B2C6B"/>
          <w:sz w:val="20"/>
        </w:rPr>
        <w:t>BR-CAT-01 — Kriteria modul boleh dijual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[Contoh: scope, output, kapasitas delivery, unit harga, harga, dan owner telah disetujui]</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BR-CAT-02 — Penanggung jawab katalog modul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[Nama/role yang memperbarui modul, versi, status kesiapan, dan harga]</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BR-PRICE-01 — Minimum nilai transaksi</w:t>
      </w:r>
      <w:r>
        <w:rPr>
          <w:rFonts w:ascii="Arial" w:hAnsi="Arial"/>
          <w:b w:val="0"/>
          <w:i/>
          <w:color w:val="607087"/>
          <w:sz w:val="18"/>
        </w:rPr>
        <w:t xml:space="preserve">  Baseline mock: Rp25.000.000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Rp [Isi nilai minimum]</w:t>
            </w:r>
          </w:p>
        </w:tc>
      </w:tr>
    </w:tbl>
    <w:p>
      <w:pPr>
        <w:spacing w:after="20"/>
      </w:pPr>
    </w:p>
    <w:p>
      <w:pPr>
        <w:keepNext/>
        <w:spacing w:before="60" w:after="60" w:line="264" w:lineRule="auto"/>
      </w:pPr>
      <w:r>
        <w:rPr>
          <w:rFonts w:ascii="Arial" w:hAnsi="Arial"/>
          <w:b/>
          <w:i w:val="0"/>
          <w:color w:val="0B2C6B"/>
          <w:sz w:val="20"/>
        </w:rPr>
        <w:t>BR-PRICE-02 — Discount ceiling tanpa persetujuan pimpinan</w:t>
      </w:r>
      <w:r>
        <w:rPr>
          <w:rFonts w:ascii="Arial" w:hAnsi="Arial"/>
          <w:b w:val="0"/>
          <w:i/>
          <w:color w:val="607087"/>
          <w:sz w:val="18"/>
        </w:rPr>
        <w:t xml:space="preserve">  Baseline mock: 5%</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[Isi] %</w:t>
            </w:r>
          </w:p>
        </w:tc>
      </w:tr>
    </w:tbl>
    <w:p>
      <w:pPr>
        <w:spacing w:after="20"/>
      </w:pPr>
    </w:p>
    <w:p>
      <w:pPr>
        <w:keepNext/>
        <w:spacing w:before="60" w:after="60" w:line="264" w:lineRule="auto"/>
      </w:pPr>
      <w:r>
        <w:rPr>
          <w:rFonts w:ascii="Arial" w:hAnsi="Arial"/>
          <w:b/>
          <w:i w:val="0"/>
          <w:color w:val="0B2C6B"/>
          <w:sz w:val="20"/>
        </w:rPr>
        <w:t>BR-PRICE-03 — Discount maksimum absolut</w:t>
      </w:r>
      <w:r>
        <w:rPr>
          <w:rFonts w:ascii="Arial" w:hAnsi="Arial"/>
          <w:b w:val="0"/>
          <w:i/>
          <w:color w:val="607087"/>
          <w:sz w:val="18"/>
        </w:rPr>
        <w:t xml:space="preserve">  Baseline mock: 10%</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[Isi] %</w:t>
            </w:r>
          </w:p>
        </w:tc>
      </w:tr>
    </w:tbl>
    <w:p>
      <w:pPr>
        <w:spacing w:after="20"/>
      </w:pPr>
    </w:p>
    <w:p>
      <w:pPr>
        <w:keepNext/>
        <w:spacing w:before="60" w:after="60" w:line="264" w:lineRule="auto"/>
      </w:pPr>
      <w:r>
        <w:rPr>
          <w:rFonts w:ascii="Arial" w:hAnsi="Arial"/>
          <w:b/>
          <w:i w:val="0"/>
          <w:color w:val="0B2C6B"/>
          <w:sz w:val="20"/>
        </w:rPr>
        <w:t>BR-PRICE-04 — Aturan pajak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[Jenis pajak dan cara penyajian dalam proposal]</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BR-PRICE-05 — Masa berlaku proposal</w:t>
      </w:r>
      <w:r>
        <w:rPr>
          <w:rFonts w:ascii="Arial" w:hAnsi="Arial"/>
          <w:b w:val="0"/>
          <w:i/>
          <w:color w:val="607087"/>
          <w:sz w:val="18"/>
        </w:rPr>
        <w:t xml:space="preserve">  Baseline mock: 14 hari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[Isi] hari kalender</w:t>
            </w:r>
          </w:p>
        </w:tc>
      </w:tr>
    </w:tbl>
    <w:p>
      <w:pPr>
        <w:spacing w:after="20"/>
      </w:pPr>
    </w:p>
    <w:p>
      <w:pPr>
        <w:keepNext/>
        <w:spacing w:before="60" w:after="60" w:line="264" w:lineRule="auto"/>
      </w:pPr>
      <w:r>
        <w:rPr>
          <w:rFonts w:ascii="Arial" w:hAnsi="Arial"/>
          <w:b/>
          <w:i w:val="0"/>
          <w:color w:val="0B2C6B"/>
          <w:sz w:val="20"/>
        </w:rPr>
        <w:t>BR-PRICE-06 — Biaya yang selalu terpisah</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[Perjalanan, akomodasi, venue, lisensi, atau biaya lain]</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BR-PRICE-07 — Aturan bundling/paket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[Isi aturan harga ketika beberapa modul digabungkan]</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0" w:after="60" w:line="264" w:lineRule="auto"/>
      </w:pPr>
      <w:r>
        <w:rPr>
          <w:rFonts w:ascii="Arial" w:hAnsi="Arial"/>
          <w:b/>
          <w:i w:val="0"/>
          <w:color w:val="D9A441"/>
          <w:sz w:val="18"/>
        </w:rPr>
        <w:t>BAGIAN 3 DARI 5</w:t>
      </w:r>
    </w:p>
    <w:p>
      <w:pPr>
        <w:pStyle w:val="Heading1"/>
      </w:pPr>
      <w:r>
        <w:t>Human Gate</w:t>
      </w:r>
    </w:p>
    <w:p>
      <w:pPr>
        <w:keepNext w:val="0"/>
        <w:spacing w:before="0" w:after="200" w:line="276" w:lineRule="auto"/>
      </w:pPr>
      <w:r>
        <w:rPr>
          <w:rFonts w:ascii="Arial" w:hAnsi="Arial"/>
          <w:b w:val="0"/>
          <w:i w:val="0"/>
          <w:color w:val="607087"/>
          <w:sz w:val="21"/>
        </w:rPr>
        <w:t>Fungsi dasar proposal dan tindakan admin sudah tersedia. Mohon konfirmasi batas yang menentukan kapan automasi harus berhenti dan menunggu manusia.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EAF0F7"/>
          </w:tcPr>
          <w:p>
            <w:pPr>
              <w:keepNext w:val="0"/>
              <w:spacing w:before="0" w:after="60" w:line="264" w:lineRule="auto"/>
            </w:pPr>
            <w:r>
              <w:rPr>
                <w:rFonts w:ascii="Arial" w:hAnsi="Arial"/>
                <w:b/>
                <w:i w:val="0"/>
                <w:color w:val="0B2C6B"/>
                <w:sz w:val="21"/>
              </w:rPr>
              <w:t>Baseline sistem saat ini</w:t>
            </w:r>
          </w:p>
          <w:p>
            <w:pPr>
              <w:keepNext w:val="0"/>
              <w:spacing w:before="0" w:after="0" w:line="276" w:lineRule="auto"/>
            </w:pPr>
            <w:r>
              <w:rPr>
                <w:rFonts w:ascii="Arial" w:hAnsi="Arial"/>
                <w:b w:val="0"/>
                <w:i w:val="0"/>
                <w:color w:val="24364B"/>
                <w:sz w:val="20"/>
              </w:rPr>
              <w:t>Admin sudah dapat meminta, membuat, mengirim, mengubah status, menjeda follow-up, dan mencatat histori proposal. Peningkatan berikutnya akan membuat approval menjadi aturan yang benar-benar ditegakkan oleh sistem.</w:t>
            </w:r>
          </w:p>
        </w:tc>
      </w:tr>
    </w:tbl>
    <w:p>
      <w:pPr>
        <w:spacing w:after="20"/>
      </w:pPr>
    </w:p>
    <w:tbl>
      <w:tblPr>
        <w:tblW w:type="dxa" w:w="9360"/>
        <w:tblLayout w:type="fixed"/>
        <w:tblLook w:firstColumn="1" w:firstRow="1" w:lastColumn="0" w:lastRow="0" w:noHBand="0" w:noVBand="1" w:val="04A0"/>
        <w:jc w:val="left"/>
        <w:tblInd w:w="120" w:type="dxa"/>
      </w:tblPr>
      <w:tblGrid>
        <w:gridCol w:w="2450"/>
        <w:gridCol w:w="2150"/>
        <w:gridCol w:w="2500"/>
        <w:gridCol w:w="2260"/>
      </w:tblGrid>
      <w:tr>
        <w:trPr>
          <w:cantSplit/>
          <w:tblHeader w:val="true"/>
          <w:cantSplit/>
        </w:trPr>
        <w:tc>
          <w:tcPr>
            <w:tcW w:type="dxa" w:w="2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Kondisi gate</w:t>
            </w:r>
          </w:p>
        </w:tc>
        <w:tc>
          <w:tcPr>
            <w:tcW w:type="dxa" w:w="21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Baseline mock</w:t>
            </w:r>
          </w:p>
        </w:tc>
        <w:tc>
          <w:tcPr>
            <w:tcW w:type="dxa" w:w="2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Keputusan pimpinan</w:t>
            </w:r>
          </w:p>
        </w:tc>
        <w:tc>
          <w:tcPr>
            <w:tcW w:type="dxa" w:w="22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Approver</w:t>
            </w:r>
          </w:p>
        </w:tc>
      </w:tr>
      <w:tr>
        <w:trPr>
          <w:cantSplit/>
        </w:trPr>
        <w:tc>
          <w:tcPr>
            <w:tcW w:type="dxa" w:w="2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Scope custom</w:t>
            </w:r>
          </w:p>
        </w:tc>
        <w:tc>
          <w:tcPr>
            <w:tcW w:type="dxa" w:w="21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Wajib review</w:t>
            </w:r>
          </w:p>
        </w:tc>
        <w:tc>
          <w:tcPr>
            <w:tcW w:type="dxa" w:w="2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[Setujui/Revisi]</w:t>
            </w:r>
          </w:p>
        </w:tc>
        <w:tc>
          <w:tcPr>
            <w:tcW w:type="dxa" w:w="22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r>
        <w:trPr>
          <w:cantSplit/>
        </w:trPr>
        <w:tc>
          <w:tcPr>
            <w:tcW w:type="dxa" w:w="2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Nilai deal melewati batas</w:t>
            </w:r>
          </w:p>
        </w:tc>
        <w:tc>
          <w:tcPr>
            <w:tcW w:type="dxa" w:w="21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&gt; Rp150.000.000</w:t>
            </w:r>
          </w:p>
        </w:tc>
        <w:tc>
          <w:tcPr>
            <w:tcW w:type="dxa" w:w="2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Rp [Isi threshold]</w:t>
            </w:r>
          </w:p>
        </w:tc>
        <w:tc>
          <w:tcPr>
            <w:tcW w:type="dxa" w:w="22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r>
        <w:trPr>
          <w:cantSplit/>
        </w:trPr>
        <w:tc>
          <w:tcPr>
            <w:tcW w:type="dxa" w:w="2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Meminta diskon</w:t>
            </w:r>
          </w:p>
        </w:tc>
        <w:tc>
          <w:tcPr>
            <w:tcW w:type="dxa" w:w="21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&gt; 5% wajib review</w:t>
            </w:r>
          </w:p>
        </w:tc>
        <w:tc>
          <w:tcPr>
            <w:tcW w:type="dxa" w:w="2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 aturan]</w:t>
            </w:r>
          </w:p>
        </w:tc>
        <w:tc>
          <w:tcPr>
            <w:tcW w:type="dxa" w:w="22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r>
        <w:trPr>
          <w:cantSplit/>
        </w:trPr>
        <w:tc>
          <w:tcPr>
            <w:tcW w:type="dxa" w:w="2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Confidence AI rendah</w:t>
            </w:r>
          </w:p>
        </w:tc>
        <w:tc>
          <w:tcPr>
            <w:tcW w:type="dxa" w:w="21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&lt; 0,75</w:t>
            </w:r>
          </w:p>
        </w:tc>
        <w:tc>
          <w:tcPr>
            <w:tcW w:type="dxa" w:w="2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&lt; [Isi]</w:t>
            </w:r>
          </w:p>
        </w:tc>
        <w:tc>
          <w:tcPr>
            <w:tcW w:type="dxa" w:w="22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r>
        <w:trPr>
          <w:cantSplit/>
        </w:trPr>
        <w:tc>
          <w:tcPr>
            <w:tcW w:type="dxa" w:w="2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Kebutuhan di luar katalog</w:t>
            </w:r>
          </w:p>
        </w:tc>
        <w:tc>
          <w:tcPr>
            <w:tcW w:type="dxa" w:w="21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Wajib review</w:t>
            </w:r>
          </w:p>
        </w:tc>
        <w:tc>
          <w:tcPr>
            <w:tcW w:type="dxa" w:w="2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[Setujui/Revisi]</w:t>
            </w:r>
          </w:p>
        </w:tc>
        <w:tc>
          <w:tcPr>
            <w:tcW w:type="dxa" w:w="22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r>
        <w:trPr>
          <w:cantSplit/>
        </w:trPr>
        <w:tc>
          <w:tcPr>
            <w:tcW w:type="dxa" w:w="2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Risiko reputasi/legal/komersial</w:t>
            </w:r>
          </w:p>
        </w:tc>
        <w:tc>
          <w:tcPr>
            <w:tcW w:type="dxa" w:w="21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Automasi berhenti</w:t>
            </w:r>
          </w:p>
        </w:tc>
        <w:tc>
          <w:tcPr>
            <w:tcW w:type="dxa" w:w="2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[Setujui/Revisi]</w:t>
            </w:r>
          </w:p>
        </w:tc>
        <w:tc>
          <w:tcPr>
            <w:tcW w:type="dxa" w:w="22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r>
        <w:trPr>
          <w:cantSplit/>
        </w:trPr>
        <w:tc>
          <w:tcPr>
            <w:tcW w:type="dxa" w:w="2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Data penting belum lengkap</w:t>
            </w:r>
          </w:p>
        </w:tc>
        <w:tc>
          <w:tcPr>
            <w:tcW w:type="dxa" w:w="21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Minta klarifikasi</w:t>
            </w:r>
          </w:p>
        </w:tc>
        <w:tc>
          <w:tcPr>
            <w:tcW w:type="dxa" w:w="2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[Setujui/Revisi]</w:t>
            </w:r>
          </w:p>
        </w:tc>
        <w:tc>
          <w:tcPr>
            <w:tcW w:type="dxa" w:w="22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[Nama/role]</w:t>
            </w:r>
          </w:p>
        </w:tc>
      </w:tr>
    </w:tbl>
    <w:p>
      <w:pPr>
        <w:spacing w:after="20"/>
      </w:pPr>
    </w:p>
    <w:p>
      <w:pPr>
        <w:keepNext/>
        <w:spacing w:before="60" w:after="60" w:line="264" w:lineRule="auto"/>
      </w:pPr>
      <w:r>
        <w:rPr>
          <w:rFonts w:ascii="Arial" w:hAnsi="Arial"/>
          <w:b/>
          <w:i w:val="0"/>
          <w:color w:val="0B2C6B"/>
          <w:sz w:val="20"/>
        </w:rPr>
        <w:t>BR-GATE-01 — Data minimum sebelum proposal boleh dibuat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[Contoh: kebutuhan, peserta, timeline, budget, decision maker]</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BR-GATE-02 — Proposal yang boleh dikirim otomatis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[Definisikan paket standar dan kondisi yang memenuhi syarat]</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BR-GATE-03 — Proposal yang tidak pernah boleh dikirim otomatis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[Isi kondisi/risiko]</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BR-GATE-04 — Kewenangan override manusia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[Siapa yang boleh override AI, diskon, dan gate; alasan wajib dicatat atau tidak]</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0" w:after="60" w:line="264" w:lineRule="auto"/>
      </w:pPr>
      <w:r>
        <w:rPr>
          <w:rFonts w:ascii="Arial" w:hAnsi="Arial"/>
          <w:b/>
          <w:i w:val="0"/>
          <w:color w:val="D9A441"/>
          <w:sz w:val="18"/>
        </w:rPr>
        <w:t>BAGIAN 4 DARI 5</w:t>
      </w:r>
    </w:p>
    <w:p>
      <w:pPr>
        <w:pStyle w:val="Heading1"/>
      </w:pPr>
      <w:r>
        <w:t>Follow-up Policy</w:t>
      </w:r>
    </w:p>
    <w:p>
      <w:pPr>
        <w:keepNext w:val="0"/>
        <w:spacing w:before="0" w:after="200" w:line="276" w:lineRule="auto"/>
      </w:pPr>
      <w:r>
        <w:rPr>
          <w:rFonts w:ascii="Arial" w:hAnsi="Arial"/>
          <w:b w:val="0"/>
          <w:i w:val="0"/>
          <w:color w:val="607087"/>
          <w:sz w:val="21"/>
        </w:rPr>
        <w:t>Alur H+2, H+7, H+14, pause, stop status, anti-duplikasi, unsubscribe, dan suppression sudah tersedia. Pimpinan cukup mengonfirmasi policy production berikut.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EAF0F7"/>
          </w:tcPr>
          <w:p>
            <w:pPr>
              <w:keepNext w:val="0"/>
              <w:spacing w:before="0" w:after="60" w:line="264" w:lineRule="auto"/>
            </w:pPr>
            <w:r>
              <w:rPr>
                <w:rFonts w:ascii="Arial" w:hAnsi="Arial"/>
                <w:b/>
                <w:i w:val="0"/>
                <w:color w:val="0B2C6B"/>
                <w:sz w:val="21"/>
              </w:rPr>
              <w:t>Baseline siap ditingkatkan</w:t>
            </w:r>
          </w:p>
          <w:p>
            <w:pPr>
              <w:keepNext w:val="0"/>
              <w:spacing w:before="0" w:after="0" w:line="276" w:lineRule="auto"/>
            </w:pPr>
            <w:r>
              <w:rPr>
                <w:rFonts w:ascii="Arial" w:hAnsi="Arial"/>
                <w:b w:val="0"/>
                <w:i w:val="0"/>
                <w:color w:val="24364B"/>
                <w:sz w:val="20"/>
              </w:rPr>
              <w:t>Sistem sudah memiliki maksimum tiga level follow-up dan dapat menghentikan pengiriman berdasarkan status atau unsubscribe. Scheduler, business hours, reply detection, Calendly, bounce, dan complaint masih perlu diaktifkan.</w:t>
            </w:r>
          </w:p>
        </w:tc>
      </w:tr>
    </w:tbl>
    <w:p>
      <w:pPr>
        <w:spacing w:after="20"/>
      </w:pPr>
    </w:p>
    <w:tbl>
      <w:tblPr>
        <w:tblW w:type="dxa" w:w="9360"/>
        <w:tblLayout w:type="fixed"/>
        <w:tblLook w:firstColumn="1" w:firstRow="1" w:lastColumn="0" w:lastRow="0" w:noHBand="0" w:noVBand="1" w:val="04A0"/>
        <w:jc w:val="left"/>
        <w:tblInd w:w="120" w:type="dxa"/>
      </w:tblPr>
      <w:tblGrid>
        <w:gridCol w:w="1500"/>
        <w:gridCol w:w="1300"/>
        <w:gridCol w:w="2200"/>
        <w:gridCol w:w="1700"/>
        <w:gridCol w:w="2660"/>
      </w:tblGrid>
      <w:tr>
        <w:trPr>
          <w:cantSplit/>
          <w:tblHeader w:val="true"/>
          <w:cantSplit/>
        </w:trPr>
        <w:tc>
          <w:tcPr>
            <w:tcW w:type="dxa" w:w="1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Level</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Baseline</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Jadwal resmi</w:t>
            </w:r>
          </w:p>
        </w:tc>
        <w:tc>
          <w:tcPr>
            <w:tcW w:type="dxa" w:w="17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Channel</w:t>
            </w:r>
          </w:p>
        </w:tc>
        <w:tc>
          <w:tcPr>
            <w:tcW w:type="dxa" w:w="26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Catatan</w:t>
            </w:r>
          </w:p>
        </w:tc>
      </w:tr>
      <w:tr>
        <w:trPr>
          <w:cantSplit/>
        </w:trPr>
        <w:tc>
          <w:tcPr>
            <w:tcW w:type="dxa" w:w="1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8"/>
              </w:rPr>
              <w:t>Follow-up 1</w:t>
            </w:r>
          </w:p>
        </w:tc>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8"/>
              </w:rPr>
              <w:t>H+2</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[Isi/Setujui H+2]</w:t>
            </w:r>
          </w:p>
        </w:tc>
        <w:tc>
          <w:tcPr>
            <w:tcW w:type="dxa" w:w="17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[Email/WA]</w:t>
            </w:r>
          </w:p>
        </w:tc>
        <w:tc>
          <w:tcPr>
            <w:tcW w:type="dxa" w:w="26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w:t>
            </w:r>
          </w:p>
        </w:tc>
      </w:tr>
      <w:tr>
        <w:trPr>
          <w:cantSplit/>
        </w:trPr>
        <w:tc>
          <w:tcPr>
            <w:tcW w:type="dxa" w:w="1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8"/>
              </w:rPr>
              <w:t>Follow-up 2</w:t>
            </w:r>
          </w:p>
        </w:tc>
        <w:tc>
          <w:tcPr>
            <w:tcW w:type="dxa" w:w="13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8"/>
              </w:rPr>
              <w:t>H+7</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[Isi/Setujui H+7]</w:t>
            </w:r>
          </w:p>
        </w:tc>
        <w:tc>
          <w:tcPr>
            <w:tcW w:type="dxa" w:w="17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[Email/WA]</w:t>
            </w:r>
          </w:p>
        </w:tc>
        <w:tc>
          <w:tcPr>
            <w:tcW w:type="dxa" w:w="26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w:t>
            </w:r>
          </w:p>
        </w:tc>
      </w:tr>
      <w:tr>
        <w:trPr>
          <w:cantSplit/>
        </w:trPr>
        <w:tc>
          <w:tcPr>
            <w:tcW w:type="dxa" w:w="1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8"/>
              </w:rPr>
              <w:t>Follow-up 3</w:t>
            </w:r>
          </w:p>
        </w:tc>
        <w:tc>
          <w:tcPr>
            <w:tcW w:type="dxa" w:w="13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8"/>
              </w:rPr>
              <w:t>H+14</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[Isi/Setujui H+14]</w:t>
            </w:r>
          </w:p>
        </w:tc>
        <w:tc>
          <w:tcPr>
            <w:tcW w:type="dxa" w:w="17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[Email/WA]</w:t>
            </w:r>
          </w:p>
        </w:tc>
        <w:tc>
          <w:tcPr>
            <w:tcW w:type="dxa" w:w="26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8"/>
              </w:rPr>
              <w:t>[Isi]</w:t>
            </w:r>
          </w:p>
        </w:tc>
      </w:tr>
    </w:tbl>
    <w:p>
      <w:pPr>
        <w:spacing w:after="20"/>
      </w:pPr>
    </w:p>
    <w:p>
      <w:pPr>
        <w:keepNext/>
        <w:spacing w:before="60" w:after="60" w:line="264" w:lineRule="auto"/>
      </w:pPr>
      <w:r>
        <w:rPr>
          <w:rFonts w:ascii="Arial" w:hAnsi="Arial"/>
          <w:b/>
          <w:i w:val="0"/>
          <w:color w:val="0B2C6B"/>
          <w:sz w:val="20"/>
        </w:rPr>
        <w:t>BR-FU-01 — Maksimum pesan otomatis</w:t>
      </w:r>
      <w:r>
        <w:rPr>
          <w:rFonts w:ascii="Arial" w:hAnsi="Arial"/>
          <w:b w:val="0"/>
          <w:i/>
          <w:color w:val="607087"/>
          <w:sz w:val="18"/>
        </w:rPr>
        <w:t xml:space="preserve">  Baseline mock: 3</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[Isi jumlah] pesan per [lead/channel/opportunity]</w:t>
            </w:r>
          </w:p>
        </w:tc>
      </w:tr>
    </w:tbl>
    <w:p>
      <w:pPr>
        <w:spacing w:after="20"/>
      </w:pPr>
    </w:p>
    <w:p>
      <w:pPr>
        <w:keepNext/>
        <w:spacing w:before="60" w:after="60" w:line="264" w:lineRule="auto"/>
      </w:pPr>
      <w:r>
        <w:rPr>
          <w:rFonts w:ascii="Arial" w:hAnsi="Arial"/>
          <w:b/>
          <w:i w:val="0"/>
          <w:color w:val="0B2C6B"/>
          <w:sz w:val="20"/>
        </w:rPr>
        <w:t>BR-FU-02 — Hari dan jam pengiriman</w:t>
      </w:r>
      <w:r>
        <w:rPr>
          <w:rFonts w:ascii="Arial" w:hAnsi="Arial"/>
          <w:b w:val="0"/>
          <w:i/>
          <w:color w:val="607087"/>
          <w:sz w:val="18"/>
        </w:rPr>
        <w:t xml:space="preserve">  Baseline mock: hari kerja, 09.00–16.00 WIB</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[Hari kerja]  pukul [mulai] sampai [selesai]  zona waktu [WIB/WITA/WIT]</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BR-FU-03 — Stop conditions resmi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[Reply, meeting, reschedule, pause, deal, lost, closed, unsubscribe, bounce, complaint, risiko, atau lainnya]</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BR-FU-04 — Aturan resume setelah pause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[Siapa yang boleh membuka pause dan kondisi yang harus dipenuhi]</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BR-FU-05 — Aturan unsubscribe dan suppression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[Permanen/sementara, pengecualian email transaksional, dan proses permintaan aktif kembali]</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BR-FU-06 — Template dan tone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[Bahasa, sapaan, CTA, larangan, serta siapa yang menyetujui template]</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0" w:after="60" w:line="264" w:lineRule="auto"/>
      </w:pPr>
      <w:r>
        <w:rPr>
          <w:rFonts w:ascii="Arial" w:hAnsi="Arial"/>
          <w:b/>
          <w:i w:val="0"/>
          <w:color w:val="D9A441"/>
          <w:sz w:val="18"/>
        </w:rPr>
        <w:t>BAGIAN 5 DARI 5</w:t>
      </w:r>
    </w:p>
    <w:p>
      <w:pPr>
        <w:pStyle w:val="Heading1"/>
      </w:pPr>
      <w:r>
        <w:t>Ownership dan SLA</w:t>
      </w:r>
    </w:p>
    <w:p>
      <w:pPr>
        <w:keepNext w:val="0"/>
        <w:spacing w:before="0" w:after="200" w:line="276" w:lineRule="auto"/>
      </w:pPr>
      <w:r>
        <w:rPr>
          <w:rFonts w:ascii="Arial" w:hAnsi="Arial"/>
          <w:b w:val="0"/>
          <w:i w:val="0"/>
          <w:color w:val="607087"/>
          <w:sz w:val="21"/>
        </w:rPr>
        <w:t>Isi nama pemegang tanggung jawab utama dan backup. Nama role saja belum cukup untuk mengaktifkan routing dan eskalasi otomatis.</w:t>
      </w:r>
    </w:p>
    <w:tbl>
      <w:tblPr>
        <w:tblW w:type="dxa" w:w="9360"/>
        <w:tblLayout w:type="fixed"/>
        <w:tblLook w:firstColumn="1" w:firstRow="1" w:lastColumn="0" w:lastRow="0" w:noHBand="0" w:noVBand="1" w:val="04A0"/>
        <w:jc w:val="left"/>
        <w:tblInd w:w="120" w:type="dxa"/>
      </w:tblPr>
      <w:tblGrid>
        <w:gridCol w:w="2250"/>
        <w:gridCol w:w="1750"/>
        <w:gridCol w:w="1500"/>
        <w:gridCol w:w="1450"/>
        <w:gridCol w:w="2410"/>
      </w:tblGrid>
      <w:tr>
        <w:trPr>
          <w:cantSplit/>
          <w:tblHeader w:val="true"/>
          <w:cantSplit/>
        </w:trPr>
        <w:tc>
          <w:tcPr>
            <w:tcW w:type="dxa" w:w="22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Tanggung jawab</w:t>
            </w:r>
          </w:p>
        </w:tc>
        <w:tc>
          <w:tcPr>
            <w:tcW w:type="dxa" w:w="17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Owner utama</w:t>
            </w:r>
          </w:p>
        </w:tc>
        <w:tc>
          <w:tcPr>
            <w:tcW w:type="dxa" w:w="1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Backup</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SLA</w:t>
            </w:r>
          </w:p>
        </w:tc>
        <w:tc>
          <w:tcPr>
            <w:tcW w:type="dxa" w:w="24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Eskalasi</w:t>
            </w:r>
          </w:p>
        </w:tc>
      </w:tr>
      <w:tr>
        <w:trPr>
          <w:cantSplit/>
        </w:trPr>
        <w:tc>
          <w:tcPr>
            <w:tcW w:type="dxa" w:w="22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Sales Operations</w:t>
            </w:r>
          </w:p>
        </w:tc>
        <w:tc>
          <w:tcPr>
            <w:tcW w:type="dxa" w:w="17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24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[Kepada siapa]</w:t>
            </w:r>
          </w:p>
        </w:tc>
      </w:tr>
      <w:tr>
        <w:trPr>
          <w:cantSplit/>
        </w:trPr>
        <w:tc>
          <w:tcPr>
            <w:tcW w:type="dxa" w:w="22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Proposal Approver</w:t>
            </w:r>
          </w:p>
        </w:tc>
        <w:tc>
          <w:tcPr>
            <w:tcW w:type="dxa" w:w="17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24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[Kepada siapa]</w:t>
            </w:r>
          </w:p>
        </w:tc>
      </w:tr>
      <w:tr>
        <w:trPr>
          <w:cantSplit/>
        </w:trPr>
        <w:tc>
          <w:tcPr>
            <w:tcW w:type="dxa" w:w="22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Deliverability</w:t>
            </w:r>
          </w:p>
        </w:tc>
        <w:tc>
          <w:tcPr>
            <w:tcW w:type="dxa" w:w="17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24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[Kepada siapa]</w:t>
            </w:r>
          </w:p>
        </w:tc>
      </w:tr>
      <w:tr>
        <w:trPr>
          <w:cantSplit/>
        </w:trPr>
        <w:tc>
          <w:tcPr>
            <w:tcW w:type="dxa" w:w="22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Delivery Owner</w:t>
            </w:r>
          </w:p>
        </w:tc>
        <w:tc>
          <w:tcPr>
            <w:tcW w:type="dxa" w:w="17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24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[Kepada siapa]</w:t>
            </w:r>
          </w:p>
        </w:tc>
      </w:tr>
      <w:tr>
        <w:trPr>
          <w:cantSplit/>
        </w:trPr>
        <w:tc>
          <w:tcPr>
            <w:tcW w:type="dxa" w:w="22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Legal/Privacy Risk</w:t>
            </w:r>
          </w:p>
        </w:tc>
        <w:tc>
          <w:tcPr>
            <w:tcW w:type="dxa" w:w="17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5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45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241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[Kepada siapa]</w:t>
            </w:r>
          </w:p>
        </w:tc>
      </w:tr>
      <w:tr>
        <w:trPr>
          <w:cantSplit/>
        </w:trPr>
        <w:tc>
          <w:tcPr>
            <w:tcW w:type="dxa" w:w="22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AI/System Incident</w:t>
            </w:r>
          </w:p>
        </w:tc>
        <w:tc>
          <w:tcPr>
            <w:tcW w:type="dxa" w:w="17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5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[Nama]</w:t>
            </w:r>
          </w:p>
        </w:tc>
        <w:tc>
          <w:tcPr>
            <w:tcW w:type="dxa" w:w="145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241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[Kepada siapa]</w:t>
            </w:r>
          </w:p>
        </w:tc>
      </w:tr>
    </w:tbl>
    <w:p>
      <w:pPr>
        <w:spacing w:after="20"/>
      </w:pPr>
    </w:p>
    <w:p>
      <w:r>
        <w:br w:type="page"/>
      </w:r>
    </w:p>
    <w:p>
      <w:pPr>
        <w:pStyle w:val="Heading2"/>
      </w:pPr>
      <w:r>
        <w:t>SLA Human Task</w:t>
      </w:r>
    </w:p>
    <w:tbl>
      <w:tblPr>
        <w:tblW w:type="dxa" w:w="9360"/>
        <w:tblLayout w:type="fixed"/>
        <w:tblLook w:firstColumn="1" w:firstRow="1" w:lastColumn="0" w:lastRow="0" w:noHBand="0" w:noVBand="1" w:val="04A0"/>
        <w:jc w:val="left"/>
        <w:tblInd w:w="120" w:type="dxa"/>
      </w:tblPr>
      <w:tblGrid>
        <w:gridCol w:w="2800"/>
        <w:gridCol w:w="2800"/>
        <w:gridCol w:w="2200"/>
        <w:gridCol w:w="1560"/>
      </w:tblGrid>
      <w:tr>
        <w:trPr>
          <w:cantSplit/>
          <w:tblHeader w:val="true"/>
          <w:cantSplit/>
        </w:trPr>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1F4D78"/>
          </w:tcPr>
          <w:p>
            <w:pPr>
              <w:keepNext w:val="0"/>
              <w:spacing w:before="0" w:after="0" w:line="240" w:lineRule="auto"/>
            </w:pPr>
            <w:r>
              <w:rPr>
                <w:rFonts w:ascii="Arial" w:hAnsi="Arial"/>
                <w:b/>
                <w:i w:val="0"/>
                <w:color w:val="FFFFFF"/>
                <w:sz w:val="18"/>
              </w:rPr>
              <w:t>Human task</w:t>
            </w:r>
          </w:p>
        </w:tc>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1F4D78"/>
          </w:tcPr>
          <w:p>
            <w:pPr>
              <w:keepNext w:val="0"/>
              <w:spacing w:before="0" w:after="0" w:line="240" w:lineRule="auto"/>
            </w:pPr>
            <w:r>
              <w:rPr>
                <w:rFonts w:ascii="Arial" w:hAnsi="Arial"/>
                <w:b/>
                <w:i w:val="0"/>
                <w:color w:val="FFFFFF"/>
                <w:sz w:val="18"/>
              </w:rPr>
              <w:t>Baseline mock</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1F4D78"/>
          </w:tcPr>
          <w:p>
            <w:pPr>
              <w:keepNext w:val="0"/>
              <w:spacing w:before="0" w:after="0" w:line="240" w:lineRule="auto"/>
            </w:pPr>
            <w:r>
              <w:rPr>
                <w:rFonts w:ascii="Arial" w:hAnsi="Arial"/>
                <w:b/>
                <w:i w:val="0"/>
                <w:color w:val="FFFFFF"/>
                <w:sz w:val="18"/>
              </w:rPr>
              <w:t>SLA resmi pimpinan</w:t>
            </w:r>
          </w:p>
        </w:tc>
        <w:tc>
          <w:tcPr>
            <w:tcW w:type="dxa" w:w="15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1F4D78"/>
          </w:tcPr>
          <w:p>
            <w:pPr>
              <w:keepNext w:val="0"/>
              <w:spacing w:before="0" w:after="0" w:line="240" w:lineRule="auto"/>
            </w:pPr>
            <w:r>
              <w:rPr>
                <w:rFonts w:ascii="Arial" w:hAnsi="Arial"/>
                <w:b/>
                <w:i w:val="0"/>
                <w:color w:val="FFFFFF"/>
                <w:sz w:val="18"/>
              </w:rPr>
              <w:t>Jam kerja dihitung</w:t>
            </w:r>
          </w:p>
        </w:tc>
      </w:tr>
      <w:tr>
        <w:trPr>
          <w:cantSplit/>
        </w:trPr>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Review Hot Lead</w:t>
            </w:r>
          </w:p>
        </w:tc>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2 jam kerja</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15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r>
        <w:trPr>
          <w:cantSplit/>
        </w:trPr>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Review Warm Lead</w:t>
            </w:r>
          </w:p>
        </w:tc>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1 hari kerja</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15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r>
        <w:trPr>
          <w:cantSplit/>
        </w:trPr>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Proposal standar</w:t>
            </w:r>
          </w:p>
        </w:tc>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1 hari kerja</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15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r>
        <w:trPr>
          <w:cantSplit/>
        </w:trPr>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Proposal custom</w:t>
            </w:r>
          </w:p>
        </w:tc>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3 hari kerja setelah data lengkap</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15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r>
        <w:trPr>
          <w:cantSplit/>
        </w:trPr>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Approval diskon/deal besar</w:t>
            </w:r>
          </w:p>
        </w:tc>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2 hari kerja</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15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r>
        <w:trPr>
          <w:cantSplit/>
        </w:trPr>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Deal → delivery handoff</w:t>
            </w:r>
          </w:p>
        </w:tc>
        <w:tc>
          <w:tcPr>
            <w:tcW w:type="dxa" w:w="28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1 hari kerja</w:t>
            </w:r>
          </w:p>
        </w:tc>
        <w:tc>
          <w:tcPr>
            <w:tcW w:type="dxa" w:w="22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w:t>
            </w:r>
          </w:p>
        </w:tc>
        <w:tc>
          <w:tcPr>
            <w:tcW w:type="dxa" w:w="15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r>
        <w:trPr>
          <w:cantSplit/>
        </w:trPr>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7"/>
              </w:rPr>
              <w:t>Risiko legal/reputasi</w:t>
            </w:r>
          </w:p>
        </w:tc>
        <w:tc>
          <w:tcPr>
            <w:tcW w:type="dxa" w:w="28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val="0"/>
                <w:color w:val="24364B"/>
                <w:sz w:val="17"/>
              </w:rPr>
              <w:t>Automasi langsung berhenti</w:t>
            </w:r>
          </w:p>
        </w:tc>
        <w:tc>
          <w:tcPr>
            <w:tcW w:type="dxa" w:w="22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[Isi waktu review]</w:t>
            </w:r>
          </w:p>
        </w:tc>
        <w:tc>
          <w:tcPr>
            <w:tcW w:type="dxa" w:w="15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7"/>
              </w:rPr>
              <w:t>[Ya/Tidak]</w:t>
            </w:r>
          </w:p>
        </w:tc>
      </w:tr>
    </w:tbl>
    <w:p>
      <w:pPr>
        <w:spacing w:after="20"/>
      </w:pPr>
    </w:p>
    <w:p>
      <w:pPr>
        <w:keepNext/>
        <w:spacing w:before="60" w:after="60" w:line="264" w:lineRule="auto"/>
      </w:pPr>
      <w:r>
        <w:rPr>
          <w:rFonts w:ascii="Arial" w:hAnsi="Arial"/>
          <w:b/>
          <w:i w:val="0"/>
          <w:color w:val="0B2C6B"/>
          <w:sz w:val="20"/>
        </w:rPr>
        <w:t>BR-OWN-01 — Aturan jika owner tidak merespons SLA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40" w:line="252" w:lineRule="auto"/>
            </w:pPr>
            <w:r/>
            <w:r>
              <w:rPr>
                <w:rFonts w:ascii="Arial" w:hAnsi="Arial"/>
                <w:b w:val="0"/>
                <w:i/>
                <w:color w:val="5C6B7A"/>
                <w:sz w:val="19"/>
              </w:rPr>
              <w:t>[Auto-escalate kepada siapa, setelah berapa lama, dan melalui channel apa]</w:t>
            </w:r>
          </w:p>
          <w:p>
            <w:pPr>
              <w:keepNext w:val="0"/>
              <w:spacing w:before="0" w:after="40" w:line="252" w:lineRule="auto"/>
            </w:pPr>
            <w:r>
              <w:rPr>
                <w:rFonts w:ascii="Arial" w:hAnsi="Arial"/>
                <w:b w:val="0"/>
                <w:i/>
                <w:color w:val="5C6B7A"/>
                <w:sz w:val="19"/>
              </w:rPr>
              <w:t xml:space="preserve"> </w:t>
            </w:r>
          </w:p>
          <w:p>
            <w:pPr>
              <w:keepNext w:val="0"/>
              <w:spacing w:before="0" w:after="0" w:line="252" w:lineRule="auto"/>
            </w:pPr>
            <w:r>
              <w:rPr>
                <w:rFonts w:ascii="Arial" w:hAnsi="Arial"/>
                <w:b w:val="0"/>
                <w:i/>
                <w:color w:val="5C6B7A"/>
                <w:sz w:val="19"/>
              </w:rPr>
              <w:t xml:space="preserve"> </w:t>
            </w:r>
          </w:p>
        </w:tc>
      </w:tr>
    </w:tbl>
    <w:p>
      <w:pPr>
        <w:spacing w:after="20"/>
      </w:pPr>
    </w:p>
    <w:p>
      <w:pPr>
        <w:keepNext/>
        <w:spacing w:before="60" w:after="60" w:line="264" w:lineRule="auto"/>
      </w:pPr>
      <w:r>
        <w:rPr>
          <w:rFonts w:ascii="Arial" w:hAnsi="Arial"/>
          <w:b/>
          <w:i w:val="0"/>
          <w:color w:val="0B2C6B"/>
          <w:sz w:val="20"/>
        </w:rPr>
        <w:t>BR-OWN-02 — Pemegang keputusan final ketika terjadi konflik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4F7FB"/>
          </w:tcPr>
          <w:p>
            <w:pPr>
              <w:keepNext w:val="0"/>
              <w:spacing w:before="0" w:after="0" w:line="252" w:lineRule="auto"/>
            </w:pPr>
            <w:r/>
            <w:r>
              <w:rPr>
                <w:rFonts w:ascii="Arial" w:hAnsi="Arial"/>
                <w:b w:val="0"/>
                <w:i/>
                <w:color w:val="5C6B7A"/>
                <w:sz w:val="19"/>
              </w:rPr>
              <w:t>[Nama/role]</w:t>
            </w:r>
          </w:p>
        </w:tc>
      </w:tr>
    </w:tbl>
    <w:p>
      <w:pPr>
        <w:spacing w:after="20"/>
      </w:pPr>
    </w:p>
    <w:p>
      <w:pPr>
        <w:keepNext/>
        <w:spacing w:before="0" w:after="60" w:line="264" w:lineRule="auto"/>
      </w:pPr>
      <w:r>
        <w:rPr>
          <w:rFonts w:ascii="Arial" w:hAnsi="Arial"/>
          <w:b/>
          <w:i w:val="0"/>
          <w:color w:val="D9A441"/>
          <w:sz w:val="18"/>
        </w:rPr>
        <w:t>FINALISASI</w:t>
      </w:r>
    </w:p>
    <w:p>
      <w:pPr>
        <w:pStyle w:val="Heading1"/>
      </w:pPr>
      <w:r>
        <w:t>Persetujuan Business Rules v1</w:t>
      </w:r>
    </w:p>
    <w:p>
      <w:pPr>
        <w:keepNext w:val="0"/>
        <w:spacing w:before="0" w:after="200" w:line="276" w:lineRule="auto"/>
      </w:pPr>
      <w:r>
        <w:rPr>
          <w:rFonts w:ascii="Arial" w:hAnsi="Arial"/>
          <w:b w:val="0"/>
          <w:i w:val="0"/>
          <w:color w:val="607087"/>
          <w:sz w:val="21"/>
        </w:rPr>
        <w:t>Tandai status, isi identitas pemberi keputusan, dan tambahkan catatan singkat bila masih ada bagian yang belum final. Bagian yang belum diputuskan tetap memakai mock internal sampai diperbarui.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FFF8E8"/>
          </w:tcPr>
          <w:p>
            <w:pPr>
              <w:keepNext w:val="0"/>
              <w:spacing w:before="0" w:after="60" w:line="264" w:lineRule="auto"/>
            </w:pPr>
            <w:r>
              <w:rPr>
                <w:rFonts w:ascii="Arial" w:hAnsi="Arial"/>
                <w:b/>
                <w:i w:val="0"/>
                <w:color w:val="7A5A00"/>
                <w:sz w:val="21"/>
              </w:rPr>
              <w:t>Status</w:t>
            </w:r>
          </w:p>
          <w:p>
            <w:pPr>
              <w:keepNext w:val="0"/>
              <w:spacing w:before="0" w:after="0" w:line="276" w:lineRule="auto"/>
            </w:pPr>
            <w:r>
              <w:rPr>
                <w:rFonts w:ascii="Arial" w:hAnsi="Arial"/>
                <w:b w:val="0"/>
                <w:i w:val="0"/>
                <w:color w:val="24364B"/>
                <w:sz w:val="20"/>
              </w:rPr>
              <w:t>[ ] Disetujui    [ ] Disetujui sebagian    [ ] Perlu revisi</w:t>
            </w:r>
          </w:p>
        </w:tc>
      </w:tr>
    </w:tbl>
    <w:p>
      <w:pPr>
        <w:spacing w:after="20"/>
      </w:pPr>
    </w:p>
    <w:tbl>
      <w:tblPr>
        <w:tblW w:type="dxa" w:w="9360"/>
        <w:tblLayout w:type="fixed"/>
        <w:tblLook w:firstColumn="1" w:firstRow="1" w:lastColumn="0" w:lastRow="0" w:noHBand="0" w:noVBand="1" w:val="04A0"/>
        <w:jc w:val="left"/>
        <w:tblInd w:w="120" w:type="dxa"/>
      </w:tblPr>
      <w:tblGrid>
        <w:gridCol w:w="3000"/>
        <w:gridCol w:w="6360"/>
      </w:tblGrid>
      <w:tr>
        <w:trPr>
          <w:cantSplit/>
          <w:tblHeader w:val="true"/>
          <w:cantSplit/>
        </w:trPr>
        <w:tc>
          <w:tcPr>
            <w:tcW w:type="dxa" w:w="30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Konfirmasi</w:t>
            </w:r>
          </w:p>
        </w:tc>
        <w:tc>
          <w:tcPr>
            <w:tcW w:type="dxa" w:w="6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shd w:fill="0B2C6B"/>
          </w:tcPr>
          <w:p>
            <w:pPr>
              <w:keepNext w:val="0"/>
              <w:spacing w:before="0" w:after="0" w:line="240" w:lineRule="auto"/>
            </w:pPr>
            <w:r>
              <w:rPr>
                <w:rFonts w:ascii="Arial" w:hAnsi="Arial"/>
                <w:b/>
                <w:i w:val="0"/>
                <w:color w:val="FFFFFF"/>
                <w:sz w:val="18"/>
              </w:rPr>
              <w:t>Isi</w:t>
            </w:r>
          </w:p>
        </w:tc>
      </w:tr>
      <w:tr>
        <w:trPr>
          <w:cantSplit/>
        </w:trPr>
        <w:tc>
          <w:tcPr>
            <w:tcW w:type="dxa" w:w="30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Nama pengambil keputusan</w:t>
            </w:r>
          </w:p>
        </w:tc>
        <w:tc>
          <w:tcPr>
            <w:tcW w:type="dxa" w:w="63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9"/>
              </w:rPr>
              <w:t>[Isi nama lengkap]</w:t>
            </w:r>
          </w:p>
        </w:tc>
      </w:tr>
      <w:tr>
        <w:trPr>
          <w:cantSplit/>
        </w:trPr>
        <w:tc>
          <w:tcPr>
            <w:tcW w:type="dxa" w:w="30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Jabatan</w:t>
            </w:r>
          </w:p>
        </w:tc>
        <w:tc>
          <w:tcPr>
            <w:tcW w:type="dxa" w:w="6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9"/>
              </w:rPr>
              <w:t>[Isi jabatan]</w:t>
            </w:r>
          </w:p>
        </w:tc>
      </w:tr>
      <w:tr>
        <w:trPr>
          <w:cantSplit/>
        </w:trPr>
        <w:tc>
          <w:tcPr>
            <w:tcW w:type="dxa" w:w="300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Tanggal</w:t>
            </w:r>
          </w:p>
        </w:tc>
        <w:tc>
          <w:tcPr>
            <w:tcW w:type="dxa" w:w="6360"/>
            <w:shd w:fill="FAFBFD"/>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9"/>
              </w:rPr>
              <w:t>[Tanggal]</w:t>
            </w:r>
          </w:p>
        </w:tc>
      </w:tr>
      <w:tr>
        <w:trPr>
          <w:cantSplit/>
        </w:trPr>
        <w:tc>
          <w:tcPr>
            <w:tcW w:type="dxa" w:w="300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i w:val="0"/>
                <w:color w:val="24364B"/>
                <w:sz w:val="19"/>
              </w:rPr>
              <w:t>Catatan / bagian yang belum final</w:t>
            </w:r>
          </w:p>
        </w:tc>
        <w:tc>
          <w:tcPr>
            <w:tcW w:type="dxa" w:w="6360"/>
            <w:tcMar>
              <w:top w:w="100" w:type="dxa"/>
              <w:bottom w:w="100" w:type="dxa"/>
              <w:start w:w="120" w:type="dxa"/>
              <w:end w:w="120" w:type="dxa"/>
            </w:tcMar>
            <w:tcBorders>
              <w:top w:val="single" w:sz="6" w:color="D8E1EC"/>
              <w:left w:val="single" w:sz="6" w:color="D8E1EC"/>
              <w:bottom w:val="single" w:sz="6" w:color="D8E1EC"/>
              <w:right w:val="single" w:sz="6" w:color="D8E1EC"/>
              <w:insideH w:val="single" w:sz="6" w:color="D8E1EC"/>
              <w:insideV w:val="single" w:sz="6" w:color="D8E1EC"/>
            </w:tcBorders>
            <w:vAlign w:val="center"/>
          </w:tcPr>
          <w:p>
            <w:pPr>
              <w:keepNext w:val="0"/>
              <w:spacing w:before="0" w:after="0" w:line="252" w:lineRule="auto"/>
            </w:pPr>
            <w:r>
              <w:rPr>
                <w:rFonts w:ascii="Arial" w:hAnsi="Arial"/>
                <w:b w:val="0"/>
                <w:i/>
                <w:color w:val="5C6B7A"/>
                <w:sz w:val="19"/>
              </w:rPr>
              <w:t>[Isi singkat atau tulis: Tidak ada]</w:t>
            </w:r>
          </w:p>
        </w:tc>
      </w:tr>
    </w:tbl>
    <w:p>
      <w:pPr>
        <w:spacing w:after="20"/>
      </w:pPr>
    </w:p>
    <w:p>
      <w:pPr>
        <w:keepNext w:val="0"/>
        <w:spacing w:before="0" w:after="0" w:line="264" w:lineRule="auto"/>
        <w:jc w:val="left"/>
      </w:pPr>
      <w:r>
        <w:rPr>
          <w:rFonts w:ascii="Arial" w:hAnsi="Arial"/>
          <w:b w:val="0"/>
          <w:i w:val="0"/>
          <w:color w:val="24364B"/>
          <w:sz w:val="20"/>
        </w:rPr>
        <w:t>Kirim kembali kepada PIC Business Process. Tim akan mengganti mock secara bertahap hanya untuk keputusan yang telah dikonfirmasi.</w:t>
      </w:r>
    </w:p>
    <w:sectPr w:rsidR="00FC693F" w:rsidRPr="0006063C" w:rsidSect="00034616">
      <w:headerReference w:type="default" r:id="rId9"/>
      <w:footerReference w:type="default" r:id="rId10"/>
      <w:pgSz w:w="12240" w:h="15840"/>
      <w:pgMar w:top="1123"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07087"/>
        <w:sz w:val="17"/>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64" w:lineRule="auto"/>
      <w:jc w:val="left"/>
    </w:pPr>
    <w:r>
      <w:rPr>
        <w:rFonts w:ascii="Arial" w:hAnsi="Arial"/>
        <w:b/>
        <w:i w:val="0"/>
        <w:color w:val="0B2C6B"/>
        <w:sz w:val="17"/>
      </w:rPr>
      <w:t>BINAHUB  |  BUSINESS RULES INPUT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2436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B2C6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2C6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BinaHub Business Rules v1 — Form Pengambil Keputusan</dc:title>
  <dc:subject>Executive input form for BinaHub AI Business Process</dc:subject>
  <dc:creator>BinaHub</dc:creator>
  <cp:keywords>BinaHub, Business Rules, Pimpinan, Pengambil Keputusan, AI Business Process</cp:keywords>
  <dc:description>Prepared as an executive decision form. Mock values are not production rules.</dc:description>
  <cp:lastModifiedBy/>
  <cp:revision>1</cp:revision>
  <dcterms:created xsi:type="dcterms:W3CDTF">2013-12-23T23:15:00Z</dcterms:created>
  <dcterms:modified xsi:type="dcterms:W3CDTF">2013-12-23T23:15:00Z</dcterms:modified>
  <cp:category/>
</cp:coreProperties>
</file>