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VioNER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My</w:t>
      </w:r>
      <w:r>
        <w:t xml:space="preserve"> </w:t>
      </w:r>
      <w:r>
        <w:t xml:space="preserve">first training corpus was the full 212,000-event ACLED extract, on</w:t>
      </w:r>
      <w:r>
        <w:t xml:space="preserve"> </w:t>
      </w:r>
      <w:r>
        <w:t xml:space="preserve">the assumption that more data is always better; the model that</w:t>
      </w:r>
      <w:r>
        <w:t xml:space="preserve"> </w:t>
      </w:r>
      <w:r>
        <w:t xml:space="preserve">came out of that run actually scored lower on rare-entity F1 than</w:t>
      </w:r>
      <w:r>
        <w:t xml:space="preserve"> </w:t>
      </w:r>
      <w:r>
        <w:t xml:space="preserve">later runs on smaller corpora, because the duplication of common</w:t>
      </w:r>
      <w:r>
        <w:t xml:space="preserve"> </w:t>
      </w:r>
      <w:r>
        <w:t xml:space="preserve">phrasing in ACLED notes was drowning out the rare entities. That</w:t>
      </w:r>
      <w:r>
        <w:t xml:space="preserve"> </w:t>
      </w:r>
      <w:r>
        <w:t xml:space="preserve">is what motivated the stratified diversity sampler in §5.3. I also</w:t>
      </w:r>
      <w:r>
        <w:t xml:space="preserve"> </w:t>
      </w:r>
      <w:r>
        <w:t xml:space="preserve">spent a week trying to learn EVENT_TYPE as a first-class NER label</w:t>
      </w:r>
      <w:r>
        <w:t xml:space="preserve"> </w:t>
      </w:r>
      <w:r>
        <w:t xml:space="preserve">on the original 26-type schema before the grounding pilot</w:t>
      </w:r>
      <w:r>
        <w:t xml:space="preserve"> </w:t>
      </w:r>
      <w:r>
        <w:t xml:space="preserve">convinced me to drop it; the model’s per-entity F1 on EVENT_TYPE</w:t>
      </w:r>
      <w:r>
        <w:t xml:space="preserve"> </w:t>
      </w:r>
      <w:r>
        <w:t xml:space="preserve">plateaued around 0.4 no matter what I tried, which is what you</w:t>
      </w:r>
      <w:r>
        <w:t xml:space="preserve"> </w:t>
      </w:r>
      <w:r>
        <w:t xml:space="preserve">should expect when the label can’t be reliably found in the source</w:t>
      </w:r>
      <w:r>
        <w:t xml:space="preserve"> </w:t>
      </w:r>
      <w:r>
        <w:t xml:space="preserve">text. The post-NER taxonomy classifier replaced that learned label</w:t>
      </w:r>
      <w:r>
        <w:t xml:space="preserve"> </w:t>
      </w:r>
      <w:r>
        <w:t xml:space="preserve">and works better. The hybrid statistics-plus-rules approach in</w:t>
      </w:r>
      <w:r>
        <w:t xml:space="preserve"> </w:t>
      </w:r>
      <w:r>
        <w:t xml:space="preserve">§4.7, which initially felt like a compromise, turned out to be a</w:t>
      </w:r>
      <w:r>
        <w:t xml:space="preserve"> </w:t>
      </w:r>
      <w:r>
        <w:t xml:space="preserve">genuine improvement.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2026-05-18T05:16:23Z</dcterms:created>
  <dcterms:modified xsi:type="dcterms:W3CDTF">2026-05-18T05:16:23Z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