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volume of unstructured news reporting on violent events in</w:t>
      </w:r>
      <w:r>
        <w:t xml:space="preserve"> </w:t>
      </w:r>
      <w:r>
        <w:t xml:space="preserve">Africa exceeds analyst capacity to read, code, and act upon within</w:t>
      </w:r>
      <w:r>
        <w:t xml:space="preserve"> </w:t>
      </w:r>
      <w:r>
        <w:t xml:space="preserve">operationally useful timeframes, and at the African Union Continental</w:t>
      </w:r>
      <w:r>
        <w:t xml:space="preserve"> </w:t>
      </w:r>
      <w:r>
        <w:t xml:space="preserve">Early Warning System this transformation remains predominantly</w:t>
      </w:r>
      <w:r>
        <w:t xml:space="preserve"> </w:t>
      </w:r>
      <w:r>
        <w:t xml:space="preserve">manual. This thesis presents VioNER, an end-to-end system that</w:t>
      </w:r>
      <w:r>
        <w:t xml:space="preserve"> </w:t>
      </w:r>
      <w:r>
        <w:t xml:space="preserve">extracts 5W1H attributes (Who, What, Where, When, Whom, How) from</w:t>
      </w:r>
      <w:r>
        <w:t xml:space="preserve"> </w:t>
      </w:r>
      <w:r>
        <w:t xml:space="preserve">African news reports of violent events through fine-tuned BERT-based</w:t>
      </w:r>
      <w:r>
        <w:t xml:space="preserve"> </w:t>
      </w:r>
      <w:r>
        <w:t xml:space="preserve">named entity recognition coupled with a knowledge-base validation</w:t>
      </w:r>
      <w:r>
        <w:t xml:space="preserve"> </w:t>
      </w:r>
      <w:r>
        <w:t xml:space="preserve">layer. A grounded annotation schema of eight entity types (ACTOR,</w:t>
      </w:r>
      <w:r>
        <w:t xml:space="preserve"> </w:t>
      </w:r>
      <w:r>
        <w:t xml:space="preserve">VICTIM, ACTION, DATE, REGION, CITY, DISTRICT, CASUALTIES) is</w:t>
      </w:r>
      <w:r>
        <w:t xml:space="preserve"> </w:t>
      </w:r>
      <w:r>
        <w:t xml:space="preserve">introduced in Beginning-Inside-Outside (BIO) format, alongside a</w:t>
      </w:r>
      <w:r>
        <w:t xml:space="preserve"> </w:t>
      </w:r>
      <w:r>
        <w:t xml:space="preserve">four-level hierarchical taxonomy of approximately ninety-five</w:t>
      </w:r>
      <w:r>
        <w:t xml:space="preserve"> </w:t>
      </w:r>
      <w:r>
        <w:t xml:space="preserve">African violent-event categories. The model was fine-tuned on a fifty-thousand-example</w:t>
      </w:r>
      <w:r>
        <w:t xml:space="preserve"> </w:t>
      </w:r>
      <w:r>
        <w:t xml:space="preserve">corpus derived from the Armed Conflict Location and Event Data</w:t>
      </w:r>
      <w:r>
        <w:t xml:space="preserve"> </w:t>
      </w:r>
      <w:r>
        <w:t xml:space="preserve">project, combining stratified diversity sampling with template-based</w:t>
      </w:r>
      <w:r>
        <w:t xml:space="preserve"> </w:t>
      </w:r>
      <w:r>
        <w:t xml:space="preserve">augmentation to address severe class imbalance, and using a</w:t>
      </w:r>
      <w:r>
        <w:t xml:space="preserve"> </w:t>
      </w:r>
      <w:r>
        <w:t xml:space="preserve">focal-loss objective with inverse-frequency class weights to counter</w:t>
      </w:r>
      <w:r>
        <w:t xml:space="preserve"> </w:t>
      </w:r>
      <w:r>
        <w:t xml:space="preserve">the dominance of the O label. The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</w:t>
      </w:r>
      <w:r>
        <w:t xml:space="preserve"> </w:t>
      </w:r>
      <w:r>
        <w:t xml:space="preserve">achieved a macro F1 of 0.887 and a micro F1 of 0.909 on the held-out</w:t>
      </w:r>
      <w:r>
        <w:t xml:space="preserve"> </w:t>
      </w:r>
      <w:r>
        <w:t xml:space="preserve">validation set, converging in two epochs; an ablation showed that</w:t>
      </w:r>
      <w:r>
        <w:t xml:space="preserve"> </w:t>
      </w:r>
      <w:r>
        <w:t xml:space="preserve">focal loss with class weighting raised the rarest entity (VICTIM) by</w:t>
      </w:r>
      <w:r>
        <w:t xml:space="preserve"> </w:t>
      </w:r>
      <w:r>
        <w:t xml:space="preserve">eleven F1 points over plain cross entropy. The trained model is</w:t>
      </w:r>
      <w:r>
        <w:t xml:space="preserve"> </w:t>
      </w:r>
      <w:r>
        <w:t xml:space="preserve">exposed through a FastAPI service, a PostgreSQL event store, a</w:t>
      </w:r>
      <w:r>
        <w:t xml:space="preserve"> </w:t>
      </w:r>
      <w:r>
        <w:t xml:space="preserve">curated knowledge base of African armed groups and cities, and a</w:t>
      </w:r>
      <w:r>
        <w:t xml:space="preserve"> </w:t>
      </w:r>
      <w:r>
        <w:t xml:space="preserve">React web application for training, inference, event management,</w:t>
      </w:r>
      <w:r>
        <w:t xml:space="preserve"> </w:t>
      </w:r>
      <w:r>
        <w:t xml:space="preserve">and analytics. The artefact substantially reduces analyst</w:t>
      </w:r>
      <w:r>
        <w:t xml:space="preserve"> </w:t>
      </w:r>
      <w:r>
        <w:t xml:space="preserve">processing time and produces structured records suitable for</w:t>
      </w:r>
      <w:r>
        <w:t xml:space="preserve"> </w:t>
      </w:r>
      <w:r>
        <w:t xml:space="preserve">downstream early-warning analysis.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This study is significant on three grounds.</w:t>
      </w:r>
    </w:p>
    <w:p>
      <w:pPr>
        <w:pStyle w:val="BodyText"/>
      </w:pPr>
      <w:r>
        <w:rPr>
          <w:b/>
          <w:bCs/>
        </w:rPr>
        <w:t xml:space="preserve">Operational significance.</w:t>
      </w:r>
      <w:r>
        <w:t xml:space="preserve"> </w:t>
      </w:r>
      <w:r>
        <w:t xml:space="preserve">The artefact reduces the analyst time</w:t>
      </w:r>
      <w:r>
        <w:t xml:space="preserve"> </w:t>
      </w:r>
      <w:r>
        <w:t xml:space="preserve">required to convert raw news into structured event records. In the</w:t>
      </w:r>
      <w:r>
        <w:t xml:space="preserve"> </w:t>
      </w:r>
      <w:r>
        <w:t xml:space="preserve">target context (AU-CEWS Situation Monitoring), analyst time is the</w:t>
      </w:r>
      <w:r>
        <w:t xml:space="preserve"> </w:t>
      </w:r>
      <w:r>
        <w:t xml:space="preserve">binding constraint on situation awareness during fast-moving</w:t>
      </w:r>
      <w:r>
        <w:t xml:space="preserve"> </w:t>
      </w:r>
      <w:r>
        <w:t xml:space="preserve">crises. Even a partial reduction in the cost of structured event</w:t>
      </w:r>
      <w:r>
        <w:t xml:space="preserve"> </w:t>
      </w:r>
      <w:r>
        <w:t xml:space="preserve">extraction translates directly into faster, broader, and more</w:t>
      </w:r>
      <w:r>
        <w:t xml:space="preserve"> </w:t>
      </w:r>
      <w:r>
        <w:t xml:space="preserve">consistent monitoring.</w:t>
      </w:r>
    </w:p>
    <w:p>
      <w:pPr>
        <w:pStyle w:val="BodyText"/>
      </w:pPr>
      <w:r>
        <w:rPr>
          <w:b/>
          <w:bCs/>
        </w:rPr>
        <w:t xml:space="preserve">Methodological significance.</w:t>
      </w:r>
      <w:r>
        <w:t xml:space="preserve"> </w:t>
      </w:r>
      <w:r>
        <w:t xml:space="preserve">The combination of a grounded</w:t>
      </w:r>
      <w:r>
        <w:t xml:space="preserve"> </w:t>
      </w:r>
      <w:r>
        <w:t xml:space="preserve">entity schema, focal-loss training under severe class imbalance,</w:t>
      </w:r>
      <w:r>
        <w:t xml:space="preserve"> </w:t>
      </w:r>
      <w:r>
        <w:t xml:space="preserve">and a curated domain knowledge base is, to the best of my</w:t>
      </w:r>
      <w:r>
        <w:t xml:space="preserve"> </w:t>
      </w:r>
      <w:r>
        <w:t xml:space="preserve">knowledge, the first such combination applied to African</w:t>
      </w:r>
      <w:r>
        <w:t xml:space="preserve"> </w:t>
      </w:r>
      <w:r>
        <w:t xml:space="preserve">violent-event extraction at this scale. The methodology is</w:t>
      </w:r>
      <w:r>
        <w:t xml:space="preserve"> </w:t>
      </w:r>
      <w:r>
        <w:t xml:space="preserve">documented in sufficient detail to be reproducible by other</w:t>
      </w:r>
      <w:r>
        <w:t xml:space="preserve"> </w:t>
      </w:r>
      <w:r>
        <w:t xml:space="preserve">researchers.</w:t>
      </w:r>
    </w:p>
    <w:p>
      <w:pPr>
        <w:pStyle w:val="BodyText"/>
      </w:pPr>
      <w:r>
        <w:rPr>
          <w:b/>
          <w:bCs/>
        </w:rPr>
        <w:t xml:space="preserve">Resource significance.</w:t>
      </w:r>
      <w:r>
        <w:t xml:space="preserve"> </w:t>
      </w:r>
      <w:r>
        <w:t xml:space="preserve">The four-level taxonomy of African</w:t>
      </w:r>
      <w:r>
        <w:t xml:space="preserve"> </w:t>
      </w:r>
      <w:r>
        <w:t xml:space="preserve">violent events, the entity annotation schema, and the curated</w:t>
      </w:r>
      <w:r>
        <w:t xml:space="preserve"> </w:t>
      </w:r>
      <w:r>
        <w:t xml:space="preserve">knowledge base of African armed groups and conflict-affected cities</w:t>
      </w:r>
      <w:r>
        <w:t xml:space="preserve"> </w:t>
      </w:r>
      <w:r>
        <w:t xml:space="preserve">are themselves reusable artefacts. They can be adopted or adapted</w:t>
      </w:r>
      <w:r>
        <w:t xml:space="preserve"> </w:t>
      </w:r>
      <w:r>
        <w:t xml:space="preserve">by researchers and practitioners working on adjacent tasks in</w:t>
      </w:r>
      <w:r>
        <w:t xml:space="preserve"> </w:t>
      </w:r>
      <w:r>
        <w:t xml:space="preserve">conflict monitoring, humanitarian protection, and security</w:t>
      </w:r>
      <w:r>
        <w:t xml:space="preserve"> </w:t>
      </w:r>
      <w:r>
        <w:t xml:space="preserve">analysis.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research will adopt a design-science methodology [13] coupled</w:t>
      </w:r>
      <w:r>
        <w:t xml:space="preserve"> </w:t>
      </w:r>
      <w:r>
        <w:t xml:space="preserve">with empirical evaluation of the artefact. Each component will be</w:t>
      </w:r>
      <w:r>
        <w:t xml:space="preserve"> </w:t>
      </w:r>
      <w:r>
        <w:t xml:space="preserve">built iteratively, with the lessons of one iteration informing the</w:t>
      </w:r>
      <w:r>
        <w:t xml:space="preserve"> </w:t>
      </w:r>
      <w:r>
        <w:t xml:space="preserve">design of the next, and with quantitative evaluation against</w:t>
      </w:r>
      <w:r>
        <w:t xml:space="preserve"> </w:t>
      </w:r>
      <w:r>
        <w:t xml:space="preserve">held-out data controlling for over-fitting at each stage. The</w:t>
      </w:r>
      <w:r>
        <w:t xml:space="preserve"> </w:t>
      </w:r>
      <w:r>
        <w:t xml:space="preserve">principal methodical choices are summarised below; full detail will</w:t>
      </w:r>
      <w:r>
        <w:t xml:space="preserve"> </w:t>
      </w:r>
      <w:r>
        <w:t xml:space="preserve">be provided in Chapter 4 and Chapter 5.</w:t>
      </w:r>
    </w:p>
    <w:p>
      <w:pPr>
        <w:pStyle w:val="BodyText"/>
      </w:pPr>
      <w:r>
        <w:rPr>
          <w:b/>
          <w:bCs/>
        </w:rPr>
        <w:t xml:space="preserve">Annotation schema design.</w:t>
      </w:r>
      <w:r>
        <w:t xml:space="preserve"> </w:t>
      </w:r>
      <w:r>
        <w:t xml:space="preserve">Drawing on the proposal taxonomy, the</w:t>
      </w:r>
      <w:r>
        <w:t xml:space="preserve"> </w:t>
      </w:r>
      <w:r>
        <w:t xml:space="preserve">ACLED column conventions, and a pilot study of grounding rates in</w:t>
      </w:r>
      <w:r>
        <w:t xml:space="preserve"> </w:t>
      </w:r>
      <w:r>
        <w:t xml:space="preserve">synthetically and naturally annotated text, the entity schema will</w:t>
      </w:r>
      <w:r>
        <w:t xml:space="preserve"> </w:t>
      </w:r>
      <w:r>
        <w:t xml:space="preserve">be restricted to entity types that can be reliably found verbatim</w:t>
      </w:r>
      <w:r>
        <w:t xml:space="preserve"> </w:t>
      </w:r>
      <w:r>
        <w:t xml:space="preserve">in source text. EVENT_TYPE and COUNTRY will be dropped from the</w:t>
      </w:r>
      <w:r>
        <w:t xml:space="preserve"> </w:t>
      </w:r>
      <w:r>
        <w:t xml:space="preserve">schema because their grounding rates will be shown by the pilot to</w:t>
      </w:r>
      <w:r>
        <w:t xml:space="preserve"> </w:t>
      </w:r>
      <w:r>
        <w:t xml:space="preserve">be too low to support reliable supervision; instead, COUNTRY will</w:t>
      </w:r>
      <w:r>
        <w:t xml:space="preserve"> </w:t>
      </w:r>
      <w:r>
        <w:t xml:space="preserve">be recovered deterministically from the knowledge base and the</w:t>
      </w:r>
      <w:r>
        <w:t xml:space="preserve"> </w:t>
      </w:r>
      <w:r>
        <w:t xml:space="preserve">event-type hierarchy will be computed in a post-NER step.</w:t>
      </w:r>
    </w:p>
    <w:p>
      <w:pPr>
        <w:pStyle w:val="BodyText"/>
      </w:pPr>
      <w:r>
        <w:rPr>
          <w:b/>
          <w:bCs/>
        </w:rPr>
        <w:t xml:space="preserve">Data acquisition and preparation.</w:t>
      </w:r>
      <w:r>
        <w:t xml:space="preserve"> </w:t>
      </w:r>
      <w:r>
        <w:t xml:space="preserve">Raw event records will be</w:t>
      </w:r>
      <w:r>
        <w:t xml:space="preserve"> </w:t>
      </w:r>
      <w:r>
        <w:t xml:space="preserve">obtained from ACLED via its open data exports. The records will be</w:t>
      </w:r>
      <w:r>
        <w:t xml:space="preserve"> </w:t>
      </w:r>
      <w:r>
        <w:t xml:space="preserve">tokenised and labelled in BIO format using the column-to-entity</w:t>
      </w:r>
      <w:r>
        <w:t xml:space="preserve"> </w:t>
      </w:r>
      <w:r>
        <w:t xml:space="preserve">mapping documented in Section 5.2. Stratified diversity sampling</w:t>
      </w:r>
      <w:r>
        <w:t xml:space="preserve"> </w:t>
      </w:r>
      <w:r>
        <w:t xml:space="preserve">will then be applied to a target subset size of 35,000 records,</w:t>
      </w:r>
      <w:r>
        <w:t xml:space="preserve"> </w:t>
      </w:r>
      <w:r>
        <w:t xml:space="preserve">with augmentation adding approximately 15,000 templated examples to</w:t>
      </w:r>
      <w:r>
        <w:t xml:space="preserve"> </w:t>
      </w:r>
      <w:r>
        <w:t xml:space="preserve">expand vocabulary coverage of action verbs and victim-targeting</w:t>
      </w:r>
      <w:r>
        <w:t xml:space="preserve"> </w:t>
      </w:r>
      <w:r>
        <w:t xml:space="preserve">constructions that are under-represented in raw ACLED text. The</w:t>
      </w:r>
      <w:r>
        <w:t xml:space="preserve"> </w:t>
      </w:r>
      <w:r>
        <w:t xml:space="preserve">resulting 50,000-example corpus will be partitioned into 80 percent</w:t>
      </w:r>
      <w:r>
        <w:t xml:space="preserve"> </w:t>
      </w:r>
      <w:r>
        <w:t xml:space="preserve">training and 20 percent validation.</w:t>
      </w:r>
    </w:p>
    <w:p>
      <w:pPr>
        <w:pStyle w:val="BodyText"/>
      </w:pPr>
      <w:r>
        <w:rPr>
          <w:b/>
          <w:bCs/>
        </w:rPr>
        <w:t xml:space="preserve">Model fine-tuning.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from the Hugging</w:t>
      </w:r>
      <w:r>
        <w:t xml:space="preserve"> </w:t>
      </w:r>
      <w:r>
        <w:t xml:space="preserve">Face hub will be fine-tuned for token classification with seventeen</w:t>
      </w:r>
      <w:r>
        <w:t xml:space="preserve"> </w:t>
      </w:r>
      <w:r>
        <w:t xml:space="preserve">output labels (eight entity types times two BIO prefixes, plus the</w:t>
      </w:r>
      <w:r>
        <w:t xml:space="preserve"> </w:t>
      </w:r>
      <w:r>
        <w:t xml:space="preserve">O label). Sub-word labels will be aligned by carrying the</w:t>
      </w:r>
      <w:r>
        <w:t xml:space="preserve"> </w:t>
      </w:r>
      <w:r>
        <w:t xml:space="preserve">first-subword label to subsequent sub-words with the B-/I-</w:t>
      </w:r>
      <w:r>
        <w:t xml:space="preserve"> </w:t>
      </w:r>
      <w:r>
        <w:t xml:space="preserve">transition handled explicitly. Training will use AdamW with linear</w:t>
      </w:r>
      <w:r>
        <w:t xml:space="preserve"> </w:t>
      </w:r>
      <w:r>
        <w:t xml:space="preserve">warm-up, optional ReduceLROnPlateau scheduling, gradient clipping,</w:t>
      </w:r>
      <w:r>
        <w:t xml:space="preserve"> </w:t>
      </w:r>
      <w:r>
        <w:t xml:space="preserve">and a focal-loss objective with inverse-frequency class weights</w:t>
      </w:r>
      <w:r>
        <w:t xml:space="preserve"> </w:t>
      </w:r>
      <w:r>
        <w:t xml:space="preserve">computed from the training set.</w:t>
      </w:r>
    </w:p>
    <w:p>
      <w:pPr>
        <w:pStyle w:val="BodyText"/>
      </w:pPr>
      <w:r>
        <w:rPr>
          <w:b/>
          <w:bCs/>
        </w:rPr>
        <w:t xml:space="preserve">Knowledge-base integration.</w:t>
      </w:r>
      <w:r>
        <w:t xml:space="preserve"> </w:t>
      </w:r>
      <w:r>
        <w:t xml:space="preserve">A static knowledge base of African</w:t>
      </w:r>
      <w:r>
        <w:t xml:space="preserve"> </w:t>
      </w:r>
      <w:r>
        <w:t xml:space="preserve">armed groups, conflict-affected cities, and the four-level taxonomy</w:t>
      </w:r>
      <w:r>
        <w:t xml:space="preserve"> </w:t>
      </w:r>
      <w:r>
        <w:t xml:space="preserve">will be loaded at inference time. Raw entity spans will be</w:t>
      </w:r>
      <w:r>
        <w:t xml:space="preserve"> </w:t>
      </w:r>
      <w:r>
        <w:t xml:space="preserve">validated against the knowledge base, with confidence scores</w:t>
      </w:r>
      <w:r>
        <w:t xml:space="preserve"> </w:t>
      </w:r>
      <w:r>
        <w:t xml:space="preserve">adjusted upward for entities that match curated entries and</w:t>
      </w:r>
      <w:r>
        <w:t xml:space="preserve"> </w:t>
      </w:r>
      <w:r>
        <w:t xml:space="preserve">downward for those that do not. The post-NER pipeline will then</w:t>
      </w:r>
      <w:r>
        <w:t xml:space="preserve"> </w:t>
      </w:r>
      <w:r>
        <w:t xml:space="preserve">assemble a 5W1H record per detected event description.</w:t>
      </w:r>
    </w:p>
    <w:p>
      <w:pPr>
        <w:pStyle w:val="BodyText"/>
      </w:pPr>
      <w:r>
        <w:rPr>
          <w:b/>
          <w:bCs/>
        </w:rPr>
        <w:t xml:space="preserve">System packaging.</w:t>
      </w:r>
      <w:r>
        <w:t xml:space="preserve"> </w:t>
      </w:r>
      <w:r>
        <w:t xml:space="preserve">The trained model, the knowledge base, and</w:t>
      </w:r>
      <w:r>
        <w:t xml:space="preserve"> </w:t>
      </w:r>
      <w:r>
        <w:t xml:space="preserve">the event store will be exposed through a FastAPI service with</w:t>
      </w:r>
      <w:r>
        <w:t xml:space="preserve"> </w:t>
      </w:r>
      <w:r>
        <w:t xml:space="preserve">documented routes for each capability, and a React/TypeScript</w:t>
      </w:r>
      <w:r>
        <w:t xml:space="preserve"> </w:t>
      </w:r>
      <w:r>
        <w:t xml:space="preserve">front-end will be built on top of it. The system will be</w:t>
      </w:r>
      <w:r>
        <w:t xml:space="preserve"> </w:t>
      </w:r>
      <w:r>
        <w:t xml:space="preserve">containerised with Docker Compose for reproducible deployment.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The fine-tuned model will be evaluated against a</w:t>
      </w:r>
      <w:r>
        <w:t xml:space="preserve"> </w:t>
      </w:r>
      <w:r>
        <w:t xml:space="preserve">held-out validation set using token-level accuracy, per-entity</w:t>
      </w:r>
      <w:r>
        <w:t xml:space="preserve"> </w:t>
      </w:r>
      <w:r>
        <w:t xml:space="preserve">precision, recall, and F1, and through qualitative inspection on</w:t>
      </w:r>
      <w:r>
        <w:t xml:space="preserve"> </w:t>
      </w:r>
      <w:r>
        <w:t xml:space="preserve">out-of-corpus news articles. End-to-end latency will be measured at</w:t>
      </w:r>
      <w:r>
        <w:t xml:space="preserve"> </w:t>
      </w:r>
      <w:r>
        <w:t xml:space="preserve">inference time, and qualitative user acceptance testing will be</w:t>
      </w:r>
      <w:r>
        <w:t xml:space="preserve"> </w:t>
      </w:r>
      <w:r>
        <w:t xml:space="preserve">conducted on a small group of representative users.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deliverables of this thesis have several immediate and prospective</w:t>
      </w:r>
      <w:r>
        <w:t xml:space="preserve"> </w:t>
      </w:r>
      <w:r>
        <w:t xml:space="preserve">applications across the African early warning, humanitarian, security,</w:t>
      </w:r>
      <w:r>
        <w:t xml:space="preserve"> </w:t>
      </w:r>
      <w:r>
        <w:t xml:space="preserve">and research ecosystems.</w:t>
      </w:r>
    </w:p>
    <w:p>
      <w:pPr>
        <w:pStyle w:val="BodyText"/>
      </w:pPr>
      <w:r>
        <w:rPr>
          <w:b/>
          <w:bCs/>
        </w:rPr>
        <w:t xml:space="preserve">Operational early warning.</w:t>
      </w:r>
      <w:r>
        <w:t xml:space="preserve"> </w:t>
      </w:r>
      <w:r>
        <w:t xml:space="preserve">AU-CEWS, regional economic communities,</w:t>
      </w:r>
      <w:r>
        <w:t xml:space="preserve"> </w:t>
      </w:r>
      <w:r>
        <w:t xml:space="preserve">and national early warning centres can use the system to accelerate</w:t>
      </w:r>
      <w:r>
        <w:t xml:space="preserve"> </w:t>
      </w:r>
      <w:r>
        <w:t xml:space="preserve">the conversion of news into structured event records, freeing analyst</w:t>
      </w:r>
      <w:r>
        <w:t xml:space="preserve"> </w:t>
      </w:r>
      <w:r>
        <w:t xml:space="preserve">attention for interpretation and decision support. The hierarchical</w:t>
      </w:r>
      <w:r>
        <w:t xml:space="preserve"> </w:t>
      </w:r>
      <w:r>
        <w:t xml:space="preserve">taxonomy supports multi-level queries from broad categories</w:t>
      </w:r>
      <w:r>
        <w:t xml:space="preserve"> </w:t>
      </w:r>
      <w:r>
        <w:t xml:space="preserve">(</w:t>
      </w:r>
      <w:r>
        <w:t xml:space="preserve">“political violence in West Africa this quarter”</w:t>
      </w:r>
      <w:r>
        <w:t xml:space="preserve">) to specific event</w:t>
      </w:r>
      <w:r>
        <w:t xml:space="preserve"> </w:t>
      </w:r>
      <w:r>
        <w:t xml:space="preserve">types (</w:t>
      </w:r>
      <w:r>
        <w:t xml:space="preserve">“suicide bombings attributed to JNIM in Mali”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Humanitarian response.</w:t>
      </w:r>
      <w:r>
        <w:t xml:space="preserve"> </w:t>
      </w:r>
      <w:r>
        <w:t xml:space="preserve">Humanitarian organisations require detailed</w:t>
      </w:r>
      <w:r>
        <w:t xml:space="preserve"> </w:t>
      </w:r>
      <w:r>
        <w:t xml:space="preserve">information about violence affecting civilian populations and</w:t>
      </w:r>
      <w:r>
        <w:t xml:space="preserve"> </w:t>
      </w:r>
      <w:r>
        <w:t xml:space="preserve">humanitarian access. The event store, with its actor, victim,</w:t>
      </w:r>
      <w:r>
        <w:t xml:space="preserve"> </w:t>
      </w:r>
      <w:r>
        <w:t xml:space="preserve">location, and casualty fields, provides a base for protection</w:t>
      </w:r>
      <w:r>
        <w:t xml:space="preserve"> </w:t>
      </w:r>
      <w:r>
        <w:t xml:space="preserve">analysis, needs assessment, and access mapping.</w:t>
      </w:r>
    </w:p>
    <w:p>
      <w:pPr>
        <w:pStyle w:val="BodyText"/>
      </w:pPr>
      <w:r>
        <w:rPr>
          <w:b/>
          <w:bCs/>
        </w:rPr>
        <w:t xml:space="preserve">Security and defence analysis.</w:t>
      </w:r>
      <w:r>
        <w:t xml:space="preserve"> </w:t>
      </w:r>
      <w:r>
        <w:t xml:space="preserve">Peace support operations and</w:t>
      </w:r>
      <w:r>
        <w:t xml:space="preserve"> </w:t>
      </w:r>
      <w:r>
        <w:t xml:space="preserve">national security services can use the system to monitor non-state</w:t>
      </w:r>
      <w:r>
        <w:t xml:space="preserve"> </w:t>
      </w:r>
      <w:r>
        <w:t xml:space="preserve">armed groups, track cross-border threats, and inform operational</w:t>
      </w:r>
      <w:r>
        <w:t xml:space="preserve"> </w:t>
      </w:r>
      <w:r>
        <w:t xml:space="preserve">planning, recognising that automated output supplements rather than</w:t>
      </w:r>
      <w:r>
        <w:t xml:space="preserve"> </w:t>
      </w:r>
      <w:r>
        <w:t xml:space="preserve">replaces classified intelligence streams.</w:t>
      </w:r>
    </w:p>
    <w:p>
      <w:pPr>
        <w:pStyle w:val="BodyText"/>
      </w:pPr>
      <w:r>
        <w:rPr>
          <w:b/>
          <w:bCs/>
        </w:rPr>
        <w:t xml:space="preserve">Research.</w:t>
      </w:r>
      <w:r>
        <w:t xml:space="preserve"> </w:t>
      </w:r>
      <w:r>
        <w:t xml:space="preserve">Academic researchers and policy institutes can use the</w:t>
      </w:r>
      <w:r>
        <w:t xml:space="preserve"> </w:t>
      </w:r>
      <w:r>
        <w:t xml:space="preserve">annotated dataset, the taxonomy, and the extracted event corpus as</w:t>
      </w:r>
      <w:r>
        <w:t xml:space="preserve"> </w:t>
      </w:r>
      <w:r>
        <w:t xml:space="preserve">inputs to quantitative conflict studies, comparative analyses, and</w:t>
      </w:r>
      <w:r>
        <w:t xml:space="preserve"> </w:t>
      </w:r>
      <w:r>
        <w:t xml:space="preserve">methodological development in domain-specific NLP.</w:t>
      </w:r>
    </w:p>
    <w:p>
      <w:pPr>
        <w:pStyle w:val="BodyText"/>
      </w:pPr>
      <w:r>
        <w:rPr>
          <w:b/>
          <w:bCs/>
        </w:rPr>
        <w:t xml:space="preserve">Capacity building.</w:t>
      </w:r>
      <w:r>
        <w:t xml:space="preserve"> </w:t>
      </w:r>
      <w:r>
        <w:t xml:space="preserve">The open architecture, documented annotation</w:t>
      </w:r>
      <w:r>
        <w:t xml:space="preserve"> </w:t>
      </w:r>
      <w:r>
        <w:t xml:space="preserve">schema, and reproducible deployment lower the technical barrier for</w:t>
      </w:r>
      <w:r>
        <w:t xml:space="preserve"> </w:t>
      </w:r>
      <w:r>
        <w:t xml:space="preserve">African universities, research centres, and government bodies to adopt</w:t>
      </w:r>
      <w:r>
        <w:t xml:space="preserve"> </w:t>
      </w:r>
      <w:r>
        <w:t xml:space="preserve">and adapt the system to their own monitoring needs.</w:t>
      </w:r>
    </w:p>
    <w:p>
      <w:pPr>
        <w:pStyle w:val="BodyText"/>
      </w:pPr>
      <w:r>
        <w:t xml:space="preserve">The breadth of these applications underlines that even with the</w:t>
      </w:r>
      <w:r>
        <w:t xml:space="preserve"> </w:t>
      </w:r>
      <w:r>
        <w:t xml:space="preserve">acknowledged limitations, the artefact produced by this thesis</w:t>
      </w:r>
      <w:r>
        <w:t xml:space="preserve"> </w:t>
      </w:r>
      <w:r>
        <w:t xml:space="preserve">contributes value beyond its strict research contributions.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remainder of this thesis will be organised as follows. Chapter 2</w:t>
      </w:r>
      <w:r>
        <w:t xml:space="preserve"> </w:t>
      </w:r>
      <w:r>
        <w:t xml:space="preserve">will review relevant literature, covering the foundations of</w:t>
      </w:r>
      <w:r>
        <w:t xml:space="preserve"> </w:t>
      </w:r>
      <w:r>
        <w:t xml:space="preserve">information extraction and named entity recognition, the transformer</w:t>
      </w:r>
      <w:r>
        <w:t xml:space="preserve"> </w:t>
      </w:r>
      <w:r>
        <w:t xml:space="preserve">architecture and BERT, techniques for handling class imbalance in</w:t>
      </w:r>
      <w:r>
        <w:t xml:space="preserve"> </w:t>
      </w:r>
      <w:r>
        <w:t xml:space="preserve">token classification, and the conflict-event database landscape that</w:t>
      </w:r>
      <w:r>
        <w:t xml:space="preserve"> </w:t>
      </w:r>
      <w:r>
        <w:t xml:space="preserve">informs the taxonomy. Chapter 3 will review prior systems most</w:t>
      </w:r>
      <w:r>
        <w:t xml:space="preserve"> </w:t>
      </w:r>
      <w:r>
        <w:t xml:space="preserve">directly related to this work, including violence-specific event</w:t>
      </w:r>
      <w:r>
        <w:t xml:space="preserve"> </w:t>
      </w:r>
      <w:r>
        <w:t xml:space="preserve">extraction systems and the closest African-context predecessor, and</w:t>
      </w:r>
      <w:r>
        <w:t xml:space="preserve"> </w:t>
      </w:r>
      <w:r>
        <w:t xml:space="preserve">will identify the specific gaps that VioNER bridges.</w:t>
      </w:r>
      <w:r>
        <w:t xml:space="preserve"> </w:t>
      </w:r>
      <w:r>
        <w:t xml:space="preserve">Chapter 4 will present the proposed solution, including the high-level</w:t>
      </w:r>
      <w:r>
        <w:t xml:space="preserve"> </w:t>
      </w:r>
      <w:r>
        <w:t xml:space="preserve">system architecture, the entity schema, the hierarchical taxonomy, the</w:t>
      </w:r>
      <w:r>
        <w:t xml:space="preserve"> </w:t>
      </w:r>
      <w:r>
        <w:t xml:space="preserve">knowledge base, the training pipeline, the inference pipeline, and</w:t>
      </w:r>
      <w:r>
        <w:t xml:space="preserve"> </w:t>
      </w:r>
      <w:r>
        <w:t xml:space="preserve">the web-application architecture. Chapter 5 will describe the</w:t>
      </w:r>
      <w:r>
        <w:t xml:space="preserve"> </w:t>
      </w:r>
      <w:r>
        <w:t xml:space="preserve">implementation, including the technology stack, data preparation,</w:t>
      </w:r>
      <w:r>
        <w:t xml:space="preserve"> </w:t>
      </w:r>
      <w:r>
        <w:t xml:space="preserve">model training, focal-loss objective, backend services, and</w:t>
      </w:r>
      <w:r>
        <w:t xml:space="preserve"> </w:t>
      </w:r>
      <w:r>
        <w:t xml:space="preserve">frontend application. Chapter 6 will present the experimental</w:t>
      </w:r>
      <w:r>
        <w:t xml:space="preserve"> </w:t>
      </w:r>
      <w:r>
        <w:t xml:space="preserve">results, including dataset statistics, training dynamics, overall and</w:t>
      </w:r>
      <w:r>
        <w:t xml:space="preserve"> </w:t>
      </w:r>
      <w:r>
        <w:t xml:space="preserve">per-entity performance, ablation studies, error analysis, and user</w:t>
      </w:r>
      <w:r>
        <w:t xml:space="preserve"> </w:t>
      </w:r>
      <w:r>
        <w:t xml:space="preserve">acceptance feedback. Chapter 7 will conclude the thesis with a</w:t>
      </w:r>
      <w:r>
        <w:t xml:space="preserve"> </w:t>
      </w:r>
      <w:r>
        <w:t xml:space="preserve">summary of contributions, recommendations, and a prioritised future</w:t>
      </w:r>
      <w:r>
        <w:t xml:space="preserve"> </w:t>
      </w:r>
      <w:r>
        <w:t xml:space="preserve">work programme that addresses the limitations identified in Section 1.6.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guided the design — some I started with, others I</w:t>
      </w:r>
      <w:r>
        <w:t xml:space="preserve"> </w:t>
      </w:r>
      <w:r>
        <w:t xml:space="preserve">learned during development.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</w:t>
      </w:r>
      <w:r>
        <w:t xml:space="preserve"> </w:t>
      </w:r>
      <w:r>
        <w:t xml:space="preserve">be something a human annotator can find verbatim in the source</w:t>
      </w:r>
      <w:r>
        <w:t xml:space="preserve"> </w:t>
      </w:r>
      <w:r>
        <w:t xml:space="preserve">text. I learned this one the hard way. The original schema in the</w:t>
      </w:r>
      <w:r>
        <w:t xml:space="preserve"> </w:t>
      </w:r>
      <w:r>
        <w:t xml:space="preserve">proposal had twenty-six entity types, and during the November pilot</w:t>
      </w:r>
      <w:r>
        <w:t xml:space="preserve"> </w:t>
      </w:r>
      <w:r>
        <w:t xml:space="preserve">I tried to annotate a sample by hand using it. EVENT_TYPE (was this</w:t>
      </w:r>
      <w:r>
        <w:t xml:space="preserve"> </w:t>
      </w:r>
      <w:r>
        <w:t xml:space="preserve">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both, often neither) and COUNTRY</w:t>
      </w:r>
      <w:r>
        <w:t xml:space="preserve"> </w:t>
      </w:r>
      <w:r>
        <w:t xml:space="preserve">(rarely written explicitly when a city or region name carries the</w:t>
      </w:r>
      <w:r>
        <w:t xml:space="preserve"> </w:t>
      </w:r>
      <w:r>
        <w:t xml:space="preserve">country implicitly) had grounding rates below 60 percent. Training</w:t>
      </w:r>
      <w:r>
        <w:t xml:space="preserve"> </w:t>
      </w:r>
      <w:r>
        <w:t xml:space="preserve">on labels you cannot consistently find in the text is asking the</w:t>
      </w:r>
      <w:r>
        <w:t xml:space="preserve"> </w:t>
      </w:r>
      <w:r>
        <w:t xml:space="preserve">model to learn noise. Both got dropped from the NER schema and</w:t>
      </w:r>
      <w:r>
        <w:t xml:space="preserve"> </w:t>
      </w:r>
      <w:r>
        <w:t xml:space="preserve">moved into the post-NER taxonomy step, where they belong.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Each stage of the system has a defined</w:t>
      </w:r>
      <w:r>
        <w:t xml:space="preserve"> </w:t>
      </w:r>
      <w:r>
        <w:t xml:space="preserve">input and output and no hidden state. Tokenise → NER → entity</w:t>
      </w:r>
      <w:r>
        <w:t xml:space="preserve"> </w:t>
      </w:r>
      <w:r>
        <w:t xml:space="preserve">assembly → confidence filtering → KB enrichment → 5W1H structuring</w:t>
      </w:r>
      <w:r>
        <w:t xml:space="preserve"> </w:t>
      </w:r>
      <w:r>
        <w:t xml:space="preserve">→ taxonomy classification → persist. Every arrow can be inspected,</w:t>
      </w:r>
      <w:r>
        <w:t xml:space="preserve"> </w:t>
      </w:r>
      <w:r>
        <w:t xml:space="preserve">every stage can be unit-tested in isolation, and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accurate; they are markedly harder to debug at three</w:t>
      </w:r>
      <w:r>
        <w:t xml:space="preserve"> </w:t>
      </w:r>
      <w:r>
        <w:t xml:space="preserve">in the morning when an analyst reports a regression.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 deciding</w:t>
      </w:r>
      <w:r>
        <w:t xml:space="preserve"> </w:t>
      </w:r>
      <w:r>
        <w:t xml:space="preserve">whether an actor + location pairing is geographically plausible.</w:t>
      </w:r>
      <w:r>
        <w:t xml:space="preserve"> </w:t>
      </w:r>
      <w:r>
        <w:t xml:space="preserve">Where each tool is naturally strong, use it.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The NER component emits a</w:t>
      </w:r>
      <w:r>
        <w:t xml:space="preserve"> </w:t>
      </w:r>
      <w:r>
        <w:t xml:space="preserve">confidence score for every span, derived from the averaged</w:t>
      </w:r>
      <w:r>
        <w:t xml:space="preserve"> </w:t>
      </w:r>
      <w:r>
        <w:t xml:space="preserve">sub-token softmax probabilities. Downstream code can apply</w:t>
      </w:r>
      <w:r>
        <w:t xml:space="preserve"> </w:t>
      </w:r>
      <w:r>
        <w:t xml:space="preserve">category-specific thresholds (DATE wants 0.80; WHAT tolerates 0.60),</w:t>
      </w:r>
      <w:r>
        <w:t xml:space="preserve"> </w:t>
      </w:r>
      <w:r>
        <w:t xml:space="preserve">and the UI shows the confidence on hover. Hiding uncertainty is a</w:t>
      </w:r>
      <w:r>
        <w:t xml:space="preserve"> </w:t>
      </w:r>
      <w:r>
        <w:t xml:space="preserve">disservice — an analyst who knows the model was unsure on the</w:t>
      </w:r>
      <w:r>
        <w:t xml:space="preserve"> </w:t>
      </w:r>
      <w:r>
        <w:t xml:space="preserve">casualty figure can verify it, an analyst who thinks the figure is</w:t>
      </w:r>
      <w:r>
        <w:t xml:space="preserve"> </w:t>
      </w:r>
      <w:r>
        <w:t xml:space="preserve">ground truth might not.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deliverable is not a Jupyter</w:t>
      </w:r>
      <w:r>
        <w:t xml:space="preserve"> </w:t>
      </w:r>
      <w:r>
        <w:t xml:space="preserve">notebook. The model is wrapped in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be able to operate the system.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Datasets, training runs, and the final</w:t>
      </w:r>
      <w:r>
        <w:t xml:space="preserve"> </w:t>
      </w:r>
      <w:r>
        <w:t xml:space="preserve">deployment all rebuild from documented scripts and configuration.</w:t>
      </w:r>
      <w:r>
        <w:t xml:space="preserve"> </w:t>
      </w:r>
      <w:r>
        <w:t xml:space="preserve">Random seeds are fixed where applicable; where they are not — for</w:t>
      </w:r>
      <w:r>
        <w:t xml:space="preserve"> </w:t>
      </w:r>
      <w:r>
        <w:t xml:space="preserve">example,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entity schema is the central design decision. As discussed under</w:t>
      </w:r>
      <w:r>
        <w:t xml:space="preserve"> </w:t>
      </w:r>
      <w:r>
        <w:t xml:space="preserve">P1, the schema is restricted to entity types that pilot evaluation</w:t>
      </w:r>
      <w:r>
        <w:t xml:space="preserve"> </w:t>
      </w:r>
      <w:r>
        <w:t xml:space="preserve">confirmed as reliably grounded in source text. The resulting eight</w:t>
      </w:r>
      <w:r>
        <w:t xml:space="preserve"> </w:t>
      </w:r>
      <w:r>
        <w:t xml:space="preserve">entity types, organised under the 5W1H categories, are listed in</w:t>
      </w:r>
      <w:r>
        <w:t xml:space="preserve"> </w:t>
      </w:r>
      <w:r>
        <w:t xml:space="preserve">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Sub-word tokenisation introduces a complication: a single</w:t>
      </w:r>
      <w:r>
        <w:t xml:space="preserve"> </w:t>
      </w:r>
      <w:r>
        <w:t xml:space="preserve">gold-labelled word may be split into several sub-word tokens, and the</w:t>
      </w:r>
      <w:r>
        <w:t xml:space="preserve"> </w:t>
      </w:r>
      <w:r>
        <w:t xml:space="preserve">labels must be projected onto the sub-words during training. The</w:t>
      </w:r>
      <w:r>
        <w:t xml:space="preserve"> </w:t>
      </w:r>
      <w:r>
        <w:t xml:space="preserve">convention adopted here, summarised as Algorithm 4.1 in Section 4.6,</w:t>
      </w:r>
      <w:r>
        <w:t xml:space="preserve"> </w:t>
      </w:r>
      <w:r>
        <w:t xml:space="preserve">assigns the original label to the first sub-word and converts any</w:t>
      </w:r>
      <w:r>
        <w:t xml:space="preserve"> </w:t>
      </w:r>
      <w:r>
        <w:t xml:space="preserve">leading B- prefix to I- for subsequent sub-words, while assigning the</w:t>
      </w:r>
      <w:r>
        <w:t xml:space="preserve"> </w:t>
      </w:r>
      <w:r>
        <w:t xml:space="preserve">ignore index (-100) to special tokens such as [CLS], [SEP], and [PAD]</w:t>
      </w:r>
      <w:r>
        <w:t xml:space="preserve"> </w:t>
      </w:r>
      <w:r>
        <w:t xml:space="preserve">so that they are excluded from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diversity-poor: many events share repeating phrasing.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(Algorithm 4.2) selects a</w:t>
      </w:r>
      <w:r>
        <w:t xml:space="preserve"> </w:t>
      </w:r>
      <w:r>
        <w:t xml:space="preserve">35,000-example subset that maximises diversity while ensuring that</w:t>
      </w:r>
      <w:r>
        <w:t xml:space="preserve"> </w:t>
      </w:r>
      <w:r>
        <w:t xml:space="preserve">rare entity types receive proportionate representation. The algorithm</w:t>
      </w:r>
      <w:r>
        <w:t xml:space="preserve"> </w:t>
      </w:r>
      <w:r>
        <w:t xml:space="preserve">operates in three phases: first, it selects examples that contain at</w:t>
      </w:r>
      <w:r>
        <w:t xml:space="preserve"> </w:t>
      </w:r>
      <w:r>
        <w:t xml:space="preserve">least one rare entity (VICTIM, ACTION, CASUALTIES) until the rare-class</w:t>
      </w:r>
      <w:r>
        <w:t xml:space="preserve"> </w:t>
      </w:r>
      <w:r>
        <w:t xml:space="preserve">budget is met; second, it selects examples with high entity diversity</w:t>
      </w:r>
      <w:r>
        <w:t xml:space="preserve"> </w:t>
      </w:r>
      <w:r>
        <w:t xml:space="preserve">(number of distinct entity types); third, it fills the remaining</w:t>
      </w:r>
      <w:r>
        <w:t xml:space="preserve"> </w:t>
      </w:r>
      <w:r>
        <w:t xml:space="preserve">budget by random sampling from the residual pool.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by category: WHO 0.70, WHOM</w:t>
      </w:r>
      <w:r>
        <w:t xml:space="preserve"> </w:t>
      </w:r>
      <w:r>
        <w:t xml:space="preserve">0.70, WHAT 0.60, WHEN 0.80, WHERE 0.70, HOW 0.75. These thresholds</w:t>
      </w:r>
      <w:r>
        <w:t xml:space="preserve"> </w:t>
      </w:r>
      <w:r>
        <w:t xml:space="preserve">were determined by inspection of validation-set behaviour: WHEN</w:t>
      </w:r>
      <w:r>
        <w:t xml:space="preserve"> </w:t>
      </w:r>
      <w:r>
        <w:t xml:space="preserve">demands high precision because dates are easy to verify and false</w:t>
      </w:r>
      <w:r>
        <w:t xml:space="preserve"> </w:t>
      </w:r>
      <w:r>
        <w:t xml:space="preserve">positives are highly visible; WHAT is allowed to be more permissive</w:t>
      </w:r>
      <w:r>
        <w:t xml:space="preserve"> </w:t>
      </w:r>
      <w:r>
        <w:t xml:space="preserve">because actions are typically supported by surrounding context.</w:t>
      </w:r>
    </w:p>
    <w:p>
      <w:pPr>
        <w:pStyle w:val="BodyText"/>
      </w:pPr>
      <w:r>
        <w:t xml:space="preserve">Multi-event texts are handled by a segmentation step that splits long</w:t>
      </w:r>
      <w:r>
        <w:t xml:space="preserve"> </w:t>
      </w:r>
      <w:r>
        <w:t xml:space="preserve">documents into event-bearing sentences before running NER. The</w:t>
      </w:r>
      <w:r>
        <w:t xml:space="preserve"> </w:t>
      </w:r>
      <w:r>
        <w:t xml:space="preserve">segmentation module (</w:t>
      </w:r>
      <w:r>
        <w:rPr>
          <w:rStyle w:val="VerbatimChar"/>
        </w:rPr>
        <w:t xml:space="preserve">pipeline/segmentation.py</w:t>
      </w:r>
      <w:r>
        <w:t xml:space="preserve">) uses sentence</w:t>
      </w:r>
      <w:r>
        <w:t xml:space="preserve"> </w:t>
      </w:r>
      <w:r>
        <w:t xml:space="preserve">boundary detection and a small set of indicator phrases (for example,</w:t>
      </w:r>
      <w:r>
        <w:t xml:space="preserve"> 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) to identify event</w:t>
      </w:r>
      <w:r>
        <w:t xml:space="preserve"> </w:t>
      </w:r>
      <w:r>
        <w:t xml:space="preserve">boundaries.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The motivation for these choices is summarised below. FastAPI gives</w:t>
      </w:r>
      <w:r>
        <w:t xml:space="preserve"> </w:t>
      </w:r>
      <w:r>
        <w:t xml:space="preserve">type-driven API definition with automatic OpenAPI generation and</w:t>
      </w:r>
      <w:r>
        <w:t xml:space="preserve"> </w:t>
      </w:r>
      <w:r>
        <w:t xml:space="preserve">strong asynchronous support; the OpenAPI document is consumed by the</w:t>
      </w:r>
      <w:r>
        <w:t xml:space="preserve"> </w:t>
      </w:r>
      <w:r>
        <w:t xml:space="preserve">front-end to keep type definitions aligned. PyTorch and Hugging Face</w:t>
      </w:r>
      <w:r>
        <w:t xml:space="preserve"> </w:t>
      </w:r>
      <w:r>
        <w:t xml:space="preserve">Transformers are the de-facto standard for transformer fine-tuning.</w:t>
      </w:r>
      <w:r>
        <w:t xml:space="preserve"> </w:t>
      </w:r>
      <w:r>
        <w:t xml:space="preserve">SQLAlchemy provides a stable ORM. React 19 with React Router 7 gives</w:t>
      </w:r>
      <w:r>
        <w:t xml:space="preserve"> </w:t>
      </w:r>
      <w:r>
        <w:t xml:space="preserve">a modern routing surface (including file-based route definitions) and</w:t>
      </w:r>
      <w:r>
        <w:t xml:space="preserve"> </w:t>
      </w:r>
      <w:r>
        <w:t xml:space="preserve">fast iteration during development. TailwindCSS combined with shadcn/ui</w:t>
      </w:r>
      <w:r>
        <w:t xml:space="preserve"> </w:t>
      </w:r>
      <w:r>
        <w:t xml:space="preserve">gives a coherent component library without locking the project into a</w:t>
      </w:r>
      <w:r>
        <w:t xml:space="preserve"> </w:t>
      </w:r>
      <w:r>
        <w:t xml:space="preserve">heavy design system. Vite provides fast development builds and</w:t>
      </w:r>
      <w:r>
        <w:t xml:space="preserve"> </w:t>
      </w:r>
      <w:r>
        <w:t xml:space="preserve">production bundling.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 Median and 95th-percentile latencies are reported in</w:t>
      </w:r>
      <w:r>
        <w:t xml:space="preserve"> </w:t>
      </w:r>
      <w:r>
        <w:t xml:space="preserve">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in Table 6.10. The full questionnaire is reproduced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 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</w:t>
      </w:r>
      <w:r>
        <w:t xml:space="preserve"> </w:t>
      </w:r>
      <w:r>
        <w:t xml:space="preserve">qualifier.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 all</w:t>
      </w:r>
      <w:r>
        <w:t xml:space="preserve"> </w:t>
      </w:r>
      <w:r>
        <w:t xml:space="preserve">boundary errors fall on VICTIM and CASUALTIES, which is consistent</w:t>
      </w:r>
      <w:r>
        <w:t xml:space="preserve"> </w:t>
      </w:r>
      <w:r>
        <w:t xml:space="preserve">with the per-entity F1 in Table 6.7. Strict span-level scoring</w:t>
      </w:r>
      <w:r>
        <w:t xml:space="preserve"> </w:t>
      </w:r>
      <w:r>
        <w:t xml:space="preserve">counts these as misses, which makes the headline numbers look</w:t>
      </w:r>
      <w:r>
        <w:t xml:space="preserve"> </w:t>
      </w:r>
      <w:r>
        <w:t xml:space="preserve">worse than they actually are operationally: an analyst reading the</w:t>
      </w:r>
      <w:r>
        <w:t xml:space="preserve"> </w:t>
      </w:r>
      <w:r>
        <w:t xml:space="preserve">output 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and knows what was meant.</w:t>
      </w:r>
    </w:p>
    <w:p>
      <w:pPr>
        <w:pStyle w:val="BodyText"/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get swapped. Figure 6.4 shows</w:t>
      </w:r>
      <w:r>
        <w:t xml:space="preserve"> </w:t>
      </w:r>
      <w:r>
        <w:t xml:space="preserve">the pattern. The hardest cases are the cities that double as</w:t>
      </w:r>
      <w:r>
        <w:t xml:space="preserve"> </w:t>
      </w:r>
      <w:r>
        <w:t xml:space="preserve">regional capitals — Goma is both a city and the de-facto centre of</w:t>
      </w:r>
      <w:r>
        <w:t xml:space="preserve"> </w:t>
      </w:r>
      <w:r>
        <w:t xml:space="preserve">North Kivu province, so a sentence like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</w:t>
      </w:r>
      <w:r>
        <w:t xml:space="preserve"> </w:t>
      </w:r>
      <w:r>
        <w:t xml:space="preserve">reasonably be read either way without more context. The model</w:t>
      </w:r>
      <w:r>
        <w:t xml:space="preserve"> </w:t>
      </w:r>
      <w:r>
        <w:t xml:space="preserve">defaults to CITY for these, which is right slightly more often than</w:t>
      </w:r>
      <w:r>
        <w:t xml:space="preserve"> </w:t>
      </w:r>
      <w:r>
        <w:t xml:space="preserve">not but produces consistent confusion under strict scoring.</w:t>
      </w:r>
    </w:p>
    <w:p>
      <w:pPr>
        <w:pStyle w:val="BodyText"/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produces no prediction</w:t>
      </w:r>
      <w:r>
        <w:t xml:space="preserve"> </w:t>
      </w:r>
      <w:r>
        <w:t xml:space="preserve">where there should have been one. Most misses are unusual victim</w:t>
      </w:r>
      <w:r>
        <w:t xml:space="preserve"> </w:t>
      </w:r>
      <w:r>
        <w:t xml:space="preserve">phrasings —</w:t>
      </w:r>
      <w:r>
        <w:t xml:space="preserve"> 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 displaced</w:t>
      </w:r>
      <w:r>
        <w:t xml:space="preserve"> </w:t>
      </w:r>
      <w:r>
        <w:t xml:space="preserve">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 </w:t>
      </w:r>
      <w:r>
        <w:t xml:space="preserve">— that the augmentation</w:t>
      </w:r>
      <w:r>
        <w:t xml:space="preserve"> </w:t>
      </w:r>
      <w:r>
        <w:t xml:space="preserve">templates do not cover and that ACLED notes phrase more</w:t>
      </w:r>
      <w:r>
        <w:t xml:space="preserve"> </w:t>
      </w:r>
      <w:r>
        <w:t xml:space="preserve">generically. Action verbs in the passive voice (</w:t>
      </w:r>
      <w:r>
        <w:t xml:space="preserve">“were ambushed”</w:t>
      </w:r>
      <w:r>
        <w:t xml:space="preserve">,</w:t>
      </w:r>
      <w:r>
        <w:t xml:space="preserve"> </w:t>
      </w:r>
      <w:r>
        <w:t xml:space="preserve">“were displaced”</w:t>
      </w:r>
      <w:r>
        <w:t xml:space="preserve">) also get missed more often than active equivalents.</w:t>
      </w:r>
    </w:p>
    <w:p>
      <w:pPr>
        <w:pStyle w:val="BodyText"/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invents an entity</w:t>
      </w:r>
      <w:r>
        <w:t xml:space="preserve"> </w:t>
      </w:r>
      <w:r>
        <w:t xml:space="preserve">where there is none. The biggest single trigger is the WHEN</w:t>
      </w:r>
      <w:r>
        <w:t xml:space="preserve"> </w:t>
      </w:r>
      <w:r>
        <w:t xml:space="preserve">category: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they are vague and the gold annotator</w:t>
      </w:r>
      <w:r>
        <w:t xml:space="preserve"> </w:t>
      </w:r>
      <w:r>
        <w:t xml:space="preserve">left them un-tagged. Tightening the WHEN threshold to 0.85 trims</w:t>
      </w:r>
      <w:r>
        <w:t xml:space="preserve"> </w:t>
      </w:r>
      <w:r>
        <w:t xml:space="preserve">most of these at the cost of about 1.2 F1 on legitimate DATE</w:t>
      </w:r>
      <w:r>
        <w:t xml:space="preserve"> </w:t>
      </w:r>
      <w:r>
        <w:t xml:space="preserve">recall — a trade-off I left to the operator’s confidence</w:t>
      </w:r>
      <w:r>
        <w:t xml:space="preserve"> </w:t>
      </w:r>
      <w:r>
        <w:t xml:space="preserve">threshold.</w:t>
      </w:r>
    </w:p>
    <w:p>
      <w:pPr>
        <w:pStyle w:val="BodyText"/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predicts the</w:t>
      </w:r>
      <w:r>
        <w:t xml:space="preserve"> </w:t>
      </w:r>
      <w:r>
        <w:t xml:space="preserve">entity correctly but its averaged sub-token confidence sits below</w:t>
      </w:r>
      <w:r>
        <w:t xml:space="preserve"> </w:t>
      </w:r>
      <w:r>
        <w:t xml:space="preserve">the category threshold, so the post-processor filters it out</w:t>
      </w:r>
      <w:r>
        <w:t xml:space="preserve"> </w:t>
      </w:r>
      <w:r>
        <w:t xml:space="preserve">(§4.7). Lowering the threshold would recover most of these at the</w:t>
      </w:r>
      <w:r>
        <w:t xml:space="preserve"> </w:t>
      </w:r>
      <w:r>
        <w:t xml:space="preserve">cost of precision;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This thesis set out to address the absence, in the African</w:t>
      </w:r>
      <w:r>
        <w:t xml:space="preserve"> </w:t>
      </w:r>
      <w:r>
        <w:t xml:space="preserve">early-warning ecosystem, of an accurate and openly documented</w:t>
      </w:r>
      <w:r>
        <w:t xml:space="preserve"> </w:t>
      </w:r>
      <w:r>
        <w:t xml:space="preserve">pipeline for converting English-language news reports of violent</w:t>
      </w:r>
      <w:r>
        <w:t xml:space="preserve"> </w:t>
      </w:r>
      <w:r>
        <w:t xml:space="preserve">events into</w:t>
      </w:r>
      <w:r>
        <w:t xml:space="preserve"> </w:t>
      </w:r>
      <w:r>
        <w:t xml:space="preserve">structured 5W1H records. The general objective stated in</w:t>
      </w:r>
      <w:r>
        <w:t xml:space="preserve"> </w:t>
      </w:r>
      <w:r>
        <w:t xml:space="preserve">Section 1.4 was the design, implementation, and evaluation of VioNER,</w:t>
      </w:r>
      <w:r>
        <w:t xml:space="preserve"> </w:t>
      </w:r>
      <w:r>
        <w:t xml:space="preserve">an integrated system that uses fine-tuned BERT-based named entity</w:t>
      </w:r>
      <w:r>
        <w:t xml:space="preserve"> </w:t>
      </w:r>
      <w:r>
        <w:t xml:space="preserve">recognition to extract 5W1H attributes, supports those extractions</w:t>
      </w:r>
      <w:r>
        <w:t xml:space="preserve"> </w:t>
      </w:r>
      <w:r>
        <w:t xml:space="preserve">with a curated knowledge base and hierarchical taxonomy, and exposes</w:t>
      </w:r>
      <w:r>
        <w:t xml:space="preserve"> </w:t>
      </w:r>
      <w:r>
        <w:t xml:space="preserve">the full capability through a documented web platform.</w:t>
      </w:r>
    </w:p>
    <w:p>
      <w:pPr>
        <w:pStyle w:val="BodyText"/>
      </w:pPr>
      <w:r>
        <w:t xml:space="preserve">Chapter 1 framed the problem in operational terms and listed ten</w:t>
      </w:r>
      <w:r>
        <w:t xml:space="preserve"> </w:t>
      </w:r>
      <w:r>
        <w:t xml:space="preserve">specific objectives. Chapter 2 reviewed the relevant theoretical</w:t>
      </w:r>
      <w:r>
        <w:t xml:space="preserve"> </w:t>
      </w:r>
      <w:r>
        <w:t xml:space="preserve">foundations: information and event extraction, named entity</w:t>
      </w:r>
      <w:r>
        <w:t xml:space="preserve"> </w:t>
      </w:r>
      <w:r>
        <w:t xml:space="preserve">recognition, the transformer architecture and BERT, methods for</w:t>
      </w:r>
      <w:r>
        <w:t xml:space="preserve"> </w:t>
      </w:r>
      <w:r>
        <w:t xml:space="preserve">handling class imbalance, conflict-event databases, and</w:t>
      </w:r>
      <w:r>
        <w:t xml:space="preserve"> </w:t>
      </w:r>
      <w:r>
        <w:t xml:space="preserve">event-oriented knowledge representation. Chapter 3 reviewed the</w:t>
      </w:r>
      <w:r>
        <w:t xml:space="preserve"> </w:t>
      </w:r>
      <w:r>
        <w:t xml:space="preserve">most directly related prior systems and identified five gaps that</w:t>
      </w:r>
      <w:r>
        <w:t xml:space="preserve"> </w:t>
      </w:r>
      <w:r>
        <w:t xml:space="preserve">this thesis bridges. Chapter 4 presented the proposed solution,</w:t>
      </w:r>
      <w:r>
        <w:t xml:space="preserve"> </w:t>
      </w:r>
      <w:r>
        <w:t xml:space="preserve">including the eight-entity BIO schema, the four-level hierarchical</w:t>
      </w:r>
      <w:r>
        <w:t xml:space="preserve"> </w:t>
      </w:r>
      <w:r>
        <w:t xml:space="preserve">taxonomy of African violent events, the structured knowledge base,</w:t>
      </w:r>
      <w:r>
        <w:t xml:space="preserve"> </w:t>
      </w:r>
      <w:r>
        <w:t xml:space="preserve">the training pipeline, the inference pipeline, and the web</w:t>
      </w:r>
      <w:r>
        <w:t xml:space="preserve"> </w:t>
      </w:r>
      <w:r>
        <w:t xml:space="preserve">application architecture. Chapter 5 documented the implementation,</w:t>
      </w:r>
      <w:r>
        <w:t xml:space="preserve"> </w:t>
      </w:r>
      <w:r>
        <w:t xml:space="preserve">covering the technology stack, data preparation, training, the focal</w:t>
      </w:r>
      <w:r>
        <w:t xml:space="preserve"> </w:t>
      </w:r>
      <w:r>
        <w:t xml:space="preserve">loss, the back-end and front-end. Chapter 6 reported empirical</w:t>
      </w:r>
      <w:r>
        <w:t xml:space="preserve"> </w:t>
      </w:r>
      <w:r>
        <w:t xml:space="preserve">results: a macro F1 of 0.887 and micro F1 of 0.909 on the held-out</w:t>
      </w:r>
      <w:r>
        <w:t xml:space="preserve"> </w:t>
      </w:r>
      <w:r>
        <w:t xml:space="preserve">validation set, with fast convergence (best at epoch 2),</w:t>
      </w:r>
      <w:r>
        <w:t xml:space="preserve"> </w:t>
      </w:r>
      <w:r>
        <w:t xml:space="preserve">demonstrable benefit from focal loss and class weighting (notably</w:t>
      </w:r>
      <w:r>
        <w:t xml:space="preserve"> </w:t>
      </w:r>
      <w:r>
        <w:t xml:space="preserve">+11 F1 for VICTIM relative to plain cross entropy), 64.3 percent KB</w:t>
      </w:r>
      <w:r>
        <w:t xml:space="preserve"> </w:t>
      </w:r>
      <w:r>
        <w:t xml:space="preserve">canonicalisation of high-confidence ACTOR spans, and inference</w:t>
      </w:r>
      <w:r>
        <w:t xml:space="preserve"> </w:t>
      </w:r>
      <w:r>
        <w:t xml:space="preserve">latencies in the hundreds of milliseconds for typical articles.</w:t>
      </w:r>
    </w:p>
    <w:p>
      <w:pPr>
        <w:pStyle w:val="BodyText"/>
      </w:pPr>
      <w:r>
        <w:t xml:space="preserve">The specific objectives stated in Section 1.4 have been addressed</w:t>
      </w:r>
      <w:r>
        <w:t xml:space="preserve"> </w:t>
      </w:r>
      <w:r>
        <w:t xml:space="preserve">as follows: objectives 1 to 5 (literature review, schema, taxonomy,</w:t>
      </w:r>
      <w:r>
        <w:t xml:space="preserve"> </w:t>
      </w:r>
      <w:r>
        <w:t xml:space="preserve">data assembly, model training) are addressed in Chapters 2, 4, and</w:t>
      </w:r>
      <w:r>
        <w:t xml:space="preserve"> </w:t>
      </w:r>
      <w:r>
        <w:t xml:space="preserve">5; objective 6 (knowledge base) in Sections 4.5 and 5.6; objectives</w:t>
      </w:r>
      <w:r>
        <w:t xml:space="preserve"> </w:t>
      </w:r>
      <w:r>
        <w:t xml:space="preserve">7 and 8 (back-end and front-end) in Sections 5.6 and 5.7; objective</w:t>
      </w:r>
      <w:r>
        <w:t xml:space="preserve"> </w:t>
      </w:r>
      <w:r>
        <w:t xml:space="preserve">9 (evaluation) in Chapter 6; objective 10 (limitations and future</w:t>
      </w:r>
      <w:r>
        <w:t xml:space="preserve"> </w:t>
      </w:r>
      <w:r>
        <w:t xml:space="preserve">work) in Section 1.6 and the remainder of this chapter. The</w:t>
      </w:r>
      <w:r>
        <w:t xml:space="preserve"> </w:t>
      </w:r>
      <w:r>
        <w:t xml:space="preserve">research questions in Section 1.3 are answered in detail in</w:t>
      </w:r>
      <w:r>
        <w:t xml:space="preserve"> </w:t>
      </w:r>
      <w:r>
        <w:t xml:space="preserve">Section 7.2 below.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7"/>
        </w:numPr>
      </w:pPr>
      <w:r>
        <w:t xml:space="preserve">Armed Clash / Battle</w:t>
      </w:r>
    </w:p>
    <w:p>
      <w:pPr>
        <w:pStyle w:val="Compact"/>
        <w:numPr>
          <w:ilvl w:val="0"/>
          <w:numId w:val="1017"/>
        </w:numPr>
      </w:pPr>
      <w:r>
        <w:t xml:space="preserve">Ambush</w:t>
      </w:r>
    </w:p>
    <w:p>
      <w:pPr>
        <w:pStyle w:val="Compact"/>
        <w:numPr>
          <w:ilvl w:val="1"/>
          <w:numId w:val="1018"/>
        </w:numPr>
      </w:pPr>
      <w:r>
        <w:t xml:space="preserve">Roadside Ambush</w:t>
      </w:r>
    </w:p>
    <w:p>
      <w:pPr>
        <w:pStyle w:val="Compact"/>
        <w:numPr>
          <w:ilvl w:val="1"/>
          <w:numId w:val="1018"/>
        </w:numPr>
      </w:pPr>
      <w:r>
        <w:t xml:space="preserve">IED Ambush</w:t>
      </w:r>
    </w:p>
    <w:p>
      <w:pPr>
        <w:pStyle w:val="Compact"/>
        <w:numPr>
          <w:ilvl w:val="1"/>
          <w:numId w:val="1018"/>
        </w:numPr>
      </w:pPr>
      <w:r>
        <w:t xml:space="preserve">Complex Ambush</w:t>
      </w:r>
    </w:p>
    <w:p>
      <w:pPr>
        <w:pStyle w:val="Compact"/>
        <w:numPr>
          <w:ilvl w:val="0"/>
          <w:numId w:val="1017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9"/>
        </w:numPr>
      </w:pPr>
      <w:r>
        <w:t xml:space="preserve">Base Assault</w:t>
      </w:r>
    </w:p>
    <w:p>
      <w:pPr>
        <w:pStyle w:val="Compact"/>
        <w:numPr>
          <w:ilvl w:val="1"/>
          <w:numId w:val="1019"/>
        </w:numPr>
      </w:pPr>
      <w:r>
        <w:t xml:space="preserve">Checkpoint Attack</w:t>
      </w:r>
    </w:p>
    <w:p>
      <w:pPr>
        <w:pStyle w:val="Compact"/>
        <w:numPr>
          <w:ilvl w:val="1"/>
          <w:numId w:val="1019"/>
        </w:numPr>
      </w:pPr>
      <w:r>
        <w:t xml:space="preserve">Overrun Operation</w:t>
      </w:r>
    </w:p>
    <w:p>
      <w:pPr>
        <w:pStyle w:val="Compact"/>
        <w:numPr>
          <w:ilvl w:val="0"/>
          <w:numId w:val="1017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0"/>
        </w:numPr>
      </w:pPr>
      <w:r>
        <w:t xml:space="preserve">Bombing / Explosive Attack</w:t>
      </w:r>
    </w:p>
    <w:p>
      <w:pPr>
        <w:pStyle w:val="Compact"/>
        <w:numPr>
          <w:ilvl w:val="1"/>
          <w:numId w:val="1021"/>
        </w:numPr>
      </w:pPr>
      <w:r>
        <w:t xml:space="preserve">Suicide Bombing</w:t>
      </w:r>
    </w:p>
    <w:p>
      <w:pPr>
        <w:pStyle w:val="Compact"/>
        <w:numPr>
          <w:ilvl w:val="1"/>
          <w:numId w:val="1021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1"/>
        </w:numPr>
      </w:pPr>
      <w:r>
        <w:t xml:space="preserve">Roadside IED</w:t>
      </w:r>
    </w:p>
    <w:p>
      <w:pPr>
        <w:pStyle w:val="Compact"/>
        <w:numPr>
          <w:ilvl w:val="1"/>
          <w:numId w:val="1021"/>
        </w:numPr>
      </w:pPr>
      <w:r>
        <w:t xml:space="preserve">Grenade Attack</w:t>
      </w:r>
    </w:p>
    <w:p>
      <w:pPr>
        <w:pStyle w:val="Compact"/>
        <w:numPr>
          <w:ilvl w:val="1"/>
          <w:numId w:val="1021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0"/>
        </w:numPr>
      </w:pPr>
      <w:r>
        <w:t xml:space="preserve">Armed Assault</w:t>
      </w:r>
    </w:p>
    <w:p>
      <w:pPr>
        <w:pStyle w:val="Compact"/>
        <w:numPr>
          <w:ilvl w:val="1"/>
          <w:numId w:val="1022"/>
        </w:numPr>
      </w:pPr>
      <w:r>
        <w:t xml:space="preserve">Mass Shooting / Rampage</w:t>
      </w:r>
    </w:p>
    <w:p>
      <w:pPr>
        <w:pStyle w:val="Compact"/>
        <w:numPr>
          <w:ilvl w:val="1"/>
          <w:numId w:val="1022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2"/>
        </w:numPr>
      </w:pPr>
      <w:r>
        <w:t xml:space="preserve">Lone Actor Attack</w:t>
      </w:r>
    </w:p>
    <w:p>
      <w:pPr>
        <w:pStyle w:val="Compact"/>
        <w:numPr>
          <w:ilvl w:val="1"/>
          <w:numId w:val="1022"/>
        </w:numPr>
      </w:pPr>
      <w:r>
        <w:t xml:space="preserve">Armed Raid</w:t>
      </w:r>
    </w:p>
    <w:p>
      <w:pPr>
        <w:pStyle w:val="Compact"/>
        <w:numPr>
          <w:ilvl w:val="0"/>
          <w:numId w:val="1020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0"/>
        </w:numPr>
      </w:pPr>
      <w:r>
        <w:t xml:space="preserve">Assassination (Terrorism)</w:t>
      </w:r>
    </w:p>
    <w:p>
      <w:pPr>
        <w:pStyle w:val="Compact"/>
        <w:numPr>
          <w:ilvl w:val="0"/>
          <w:numId w:val="1020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3"/>
        </w:numPr>
      </w:pPr>
      <w:r>
        <w:t xml:space="preserve">Attack on Religious Site</w:t>
      </w:r>
    </w:p>
    <w:p>
      <w:pPr>
        <w:pStyle w:val="Compact"/>
        <w:numPr>
          <w:ilvl w:val="1"/>
          <w:numId w:val="1023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3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3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3"/>
        </w:numPr>
      </w:pPr>
      <w:r>
        <w:t xml:space="preserve">Attack on Transportation</w:t>
      </w:r>
    </w:p>
    <w:p>
      <w:pPr>
        <w:pStyle w:val="Compact"/>
        <w:numPr>
          <w:ilvl w:val="1"/>
          <w:numId w:val="1023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4"/>
        </w:numPr>
      </w:pPr>
      <w:r>
        <w:t xml:space="preserve">Military Coup (Violent)</w:t>
      </w:r>
    </w:p>
    <w:p>
      <w:pPr>
        <w:pStyle w:val="Compact"/>
        <w:numPr>
          <w:ilvl w:val="0"/>
          <w:numId w:val="1024"/>
        </w:numPr>
      </w:pPr>
      <w:r>
        <w:t xml:space="preserve">Coup-Related Violence</w:t>
      </w:r>
    </w:p>
    <w:p>
      <w:pPr>
        <w:pStyle w:val="Compact"/>
        <w:numPr>
          <w:ilvl w:val="0"/>
          <w:numId w:val="1024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5"/>
        </w:numPr>
      </w:pPr>
      <w:r>
        <w:t xml:space="preserve">Campaign Violence</w:t>
      </w:r>
    </w:p>
    <w:p>
      <w:pPr>
        <w:pStyle w:val="Compact"/>
        <w:numPr>
          <w:ilvl w:val="1"/>
          <w:numId w:val="1026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6"/>
        </w:numPr>
      </w:pPr>
      <w:r>
        <w:t xml:space="preserve">Attack on Campaign Event</w:t>
      </w:r>
    </w:p>
    <w:p>
      <w:pPr>
        <w:pStyle w:val="Compact"/>
        <w:numPr>
          <w:ilvl w:val="1"/>
          <w:numId w:val="1026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5"/>
        </w:numPr>
      </w:pPr>
      <w:r>
        <w:t xml:space="preserve">Voting Day Violence</w:t>
      </w:r>
    </w:p>
    <w:p>
      <w:pPr>
        <w:pStyle w:val="Compact"/>
        <w:numPr>
          <w:ilvl w:val="1"/>
          <w:numId w:val="1027"/>
        </w:numPr>
      </w:pPr>
      <w:r>
        <w:t xml:space="preserve">Attack on Polling Station</w:t>
      </w:r>
    </w:p>
    <w:p>
      <w:pPr>
        <w:pStyle w:val="Compact"/>
        <w:numPr>
          <w:ilvl w:val="1"/>
          <w:numId w:val="1027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5"/>
        </w:numPr>
      </w:pPr>
      <w:r>
        <w:t xml:space="preserve">Post-Election Violence</w:t>
      </w:r>
    </w:p>
    <w:p>
      <w:pPr>
        <w:pStyle w:val="Compact"/>
        <w:numPr>
          <w:ilvl w:val="1"/>
          <w:numId w:val="1028"/>
        </w:numPr>
      </w:pPr>
      <w:r>
        <w:t xml:space="preserve">Election Protest Violence</w:t>
      </w:r>
    </w:p>
    <w:p>
      <w:pPr>
        <w:pStyle w:val="Compact"/>
        <w:numPr>
          <w:ilvl w:val="1"/>
          <w:numId w:val="1028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9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9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9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0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0"/>
        </w:numPr>
      </w:pPr>
      <w:r>
        <w:t xml:space="preserve">Assassination (Criminal)</w:t>
      </w:r>
    </w:p>
    <w:p>
      <w:pPr>
        <w:pStyle w:val="Compact"/>
        <w:numPr>
          <w:ilvl w:val="0"/>
          <w:numId w:val="1030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1"/>
        </w:numPr>
      </w:pPr>
      <w:r>
        <w:t xml:space="preserve">Highway Robbery / Banditry</w:t>
      </w:r>
    </w:p>
    <w:p>
      <w:pPr>
        <w:pStyle w:val="Compact"/>
        <w:numPr>
          <w:ilvl w:val="0"/>
          <w:numId w:val="1031"/>
        </w:numPr>
      </w:pPr>
      <w:r>
        <w:t xml:space="preserve">Bank / Business Robbery</w:t>
      </w:r>
    </w:p>
    <w:p>
      <w:pPr>
        <w:pStyle w:val="Compact"/>
        <w:numPr>
          <w:ilvl w:val="0"/>
          <w:numId w:val="1031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1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2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2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3"/>
        </w:numPr>
      </w:pPr>
      <w:r>
        <w:t xml:space="preserve">Ethnic Clash / Battle</w:t>
      </w:r>
    </w:p>
    <w:p>
      <w:pPr>
        <w:pStyle w:val="Compact"/>
        <w:numPr>
          <w:ilvl w:val="0"/>
          <w:numId w:val="1033"/>
        </w:numPr>
      </w:pPr>
      <w:r>
        <w:t xml:space="preserve">Ethnic Massacre</w:t>
      </w:r>
    </w:p>
    <w:p>
      <w:pPr>
        <w:pStyle w:val="Compact"/>
        <w:numPr>
          <w:ilvl w:val="0"/>
          <w:numId w:val="1033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4"/>
        </w:numPr>
      </w:pPr>
      <w:r>
        <w:t xml:space="preserve">Sectarian Violence</w:t>
      </w:r>
    </w:p>
    <w:p>
      <w:pPr>
        <w:pStyle w:val="Compact"/>
        <w:numPr>
          <w:ilvl w:val="0"/>
          <w:numId w:val="1034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4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5"/>
        </w:numPr>
      </w:pPr>
      <w:r>
        <w:t xml:space="preserve">Land Conflict</w:t>
      </w:r>
    </w:p>
    <w:p>
      <w:pPr>
        <w:pStyle w:val="Compact"/>
        <w:numPr>
          <w:ilvl w:val="0"/>
          <w:numId w:val="1035"/>
        </w:numPr>
      </w:pPr>
      <w:r>
        <w:t xml:space="preserve">Water Conflict</w:t>
      </w:r>
    </w:p>
    <w:p>
      <w:pPr>
        <w:pStyle w:val="Compact"/>
        <w:numPr>
          <w:ilvl w:val="0"/>
          <w:numId w:val="1035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6"/>
        </w:numPr>
      </w:pPr>
      <w:r>
        <w:t xml:space="preserve">Grazing Conflict</w:t>
      </w:r>
    </w:p>
    <w:p>
      <w:pPr>
        <w:pStyle w:val="Compact"/>
        <w:numPr>
          <w:ilvl w:val="0"/>
          <w:numId w:val="1036"/>
        </w:numPr>
      </w:pPr>
      <w:r>
        <w:t xml:space="preserve">Cattle Raiding (Communal)</w:t>
      </w:r>
    </w:p>
    <w:p>
      <w:pPr>
        <w:pStyle w:val="Compact"/>
        <w:numPr>
          <w:ilvl w:val="0"/>
          <w:numId w:val="1036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7"/>
        </w:numPr>
      </w:pPr>
      <w:r>
        <w:t xml:space="preserve">Summary Execution</w:t>
      </w:r>
    </w:p>
    <w:p>
      <w:pPr>
        <w:pStyle w:val="Compact"/>
        <w:numPr>
          <w:ilvl w:val="0"/>
          <w:numId w:val="1037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7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8"/>
        </w:numPr>
      </w:pPr>
      <w:r>
        <w:t xml:space="preserve">Shooting of Protesters</w:t>
      </w:r>
    </w:p>
    <w:p>
      <w:pPr>
        <w:pStyle w:val="Compact"/>
        <w:numPr>
          <w:ilvl w:val="0"/>
          <w:numId w:val="1038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9"/>
        </w:numPr>
      </w:pPr>
      <w:r>
        <w:t xml:space="preserve">Massacre by State Forces</w:t>
      </w:r>
    </w:p>
    <w:p>
      <w:pPr>
        <w:pStyle w:val="Compact"/>
        <w:numPr>
          <w:ilvl w:val="0"/>
          <w:numId w:val="1039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0"/>
        </w:numPr>
      </w:pPr>
      <w:r>
        <w:t xml:space="preserve">Violent Eviction</w:t>
      </w:r>
    </w:p>
    <w:p>
      <w:pPr>
        <w:pStyle w:val="Compact"/>
        <w:numPr>
          <w:ilvl w:val="0"/>
          <w:numId w:val="1040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1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2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4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4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4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5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5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5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5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5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5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5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5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6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6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6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6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2026-05-18T05:07:31Z</dcterms:created>
  <dcterms:modified xsi:type="dcterms:W3CDTF">2026-05-18T05:07:31Z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