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RippleEffect AI</w:t>
      </w:r>
    </w:p>
    <w:p>
      <w:pPr>
        <w:pStyle w:val="Subtitle"/>
      </w:pPr>
      <w:r>
        <w:t xml:space="preserve">Three-minute demo recording script</w:t>
      </w:r>
    </w:p>
    <w:p>
      <w:pPr>
        <w:pStyle w:val="Heading1"/>
      </w:pPr>
      <w:r>
        <w:t xml:space="preserve">Before recording  |  Setup</w:t>
      </w:r>
    </w:p>
    <w:p>
      <w:pPr>
        <w:pStyle w:val="Normal"/>
      </w:pPr>
      <w:r>
        <w:t xml:space="preserve">Open Gainesville / Hogtown Creek, select Parking lot, and set rainfall to 65 mm. Read the numbers actually displayed on your screen. The default scenario uses illustrative terrain; its Groundsource historical context uses authenticated original records.</w:t>
      </w:r>
    </w:p>
    <w:p>
      <w:pPr>
        <w:pStyle w:val="Heading1"/>
      </w:pPr>
      <w:r>
        <w:t xml:space="preserve">0:00-0:25  |  Introduce the problem</w:t>
      </w:r>
    </w:p>
    <w:p>
      <w:pPr>
        <w:pStyle w:val="Normal"/>
      </w:pPr>
      <w:r>
        <w:t xml:space="preserve">Before we build a parking lot, widen a road or construct a building, we should understand how that change affects the surrounding environment.</w:t>
      </w:r>
    </w:p>
    <w:p>
      <w:pPr>
        <w:pStyle w:val="Normal"/>
      </w:pPr>
      <w:r>
        <w:t xml:space="preserve">RippleEffect AI helps users explore those changes, compare their estimated effects and identify what needs further investigation.</w:t>
      </w:r>
    </w:p>
    <w:p>
      <w:pPr>
        <w:pStyle w:val="Heading1"/>
      </w:pPr>
      <w:r>
        <w:t xml:space="preserve">0:25-0:55  |  Introduce the recent resource</w:t>
      </w:r>
    </w:p>
    <w:p>
      <w:pPr>
        <w:pStyle w:val="Action"/>
      </w:pPr>
      <w:r>
        <w:t xml:space="preserve">On screen: Point to Regional flood history. Expand Coverage &amp; source.</w:t>
      </w:r>
    </w:p>
    <w:p>
      <w:pPr>
        <w:pStyle w:val="Normal"/>
      </w:pPr>
      <w:r>
        <w:t xml:space="preserve">Our central recent resource is Google’s Groundsource dataset, published in February 2026 and announced in March 2026.</w:t>
      </w:r>
    </w:p>
    <w:p>
      <w:pPr>
        <w:pStyle w:val="Normal"/>
      </w:pPr>
      <w:r>
        <w:t xml:space="preserve">We verified the original archive’s checksum and extracted over sixteen thousand original records covering Florida and surrounding areas.</w:t>
      </w:r>
    </w:p>
    <w:p>
      <w:pPr>
        <w:pStyle w:val="Normal"/>
      </w:pPr>
      <w:r>
        <w:t xml:space="preserve">The records retain their original identifiers, dates and geographic boundaries. These are historical reporting regions, not confirmed floods at individual properties.</w:t>
      </w:r>
    </w:p>
    <w:p>
      <w:pPr>
        <w:pStyle w:val="Heading1"/>
      </w:pPr>
      <w:r>
        <w:t xml:space="preserve">0:55-1:30  |  Demonstrate a proposal</w:t>
      </w:r>
    </w:p>
    <w:p>
      <w:pPr>
        <w:pStyle w:val="Action"/>
      </w:pPr>
      <w:r>
        <w:t xml:space="preserve">On screen: Select Parking lot. Point to runoff and vegetation estimates. Deselect a yellow cell, then click Undo.</w:t>
      </w:r>
    </w:p>
    <w:p>
      <w:pPr>
        <w:pStyle w:val="Normal"/>
      </w:pPr>
      <w:r>
        <w:t xml:space="preserve">Here, I’m exploring a parking-lot proposal. The application compares the original surfaces with the proposed surfaces and estimates the additional runoff and vegetation loss.</w:t>
      </w:r>
    </w:p>
    <w:p>
      <w:pPr>
        <w:pStyle w:val="Normal"/>
      </w:pPr>
      <w:r>
        <w:t xml:space="preserve">These are model estimates. Mixed developed-land categories use assumed vegetation fractions; the app does not detect individual trees from satellite imagery.</w:t>
      </w:r>
    </w:p>
    <w:p>
      <w:pPr>
        <w:pStyle w:val="Normal"/>
      </w:pPr>
      <w:r>
        <w:t xml:space="preserve">I can adjust the footprint cell by cell, deselect a cell or undo a change.</w:t>
      </w:r>
    </w:p>
    <w:p>
      <w:pPr>
        <w:pStyle w:val="Heading1"/>
      </w:pPr>
      <w:r>
        <w:t xml:space="preserve">1:30-2:05  |  Show why historical evidence matters</w:t>
      </w:r>
    </w:p>
    <w:p>
      <w:pPr>
        <w:pStyle w:val="Action"/>
      </w:pPr>
      <w:r>
        <w:t xml:space="preserve">On screen: Click Reset and expand Why it matters. Click View regional history on map, then hide it to return.</w:t>
      </w:r>
    </w:p>
    <w:p>
      <w:pPr>
        <w:pStyle w:val="Normal"/>
      </w:pPr>
      <w:r>
        <w:t xml:space="preserve">After resetting, the model shows no additional runoff from a proposal. But that does not establish that this location is safe from flooding.</w:t>
      </w:r>
    </w:p>
    <w:p>
      <w:pPr>
        <w:pStyle w:val="Normal"/>
      </w:pPr>
      <w:r>
        <w:t xml:space="preserve">Groundsource adds regional historical context, prompting investigation of drainage and emergency access that a runoff-only comparison would miss.</w:t>
      </w:r>
    </w:p>
    <w:p>
      <w:pPr>
        <w:pStyle w:val="Normal"/>
      </w:pPr>
      <w:r>
        <w:t xml:space="preserve">The pink outlines show the original geocoded record regions. They can cover broad areas, so nearby neighborhoods may share the same records.</w:t>
      </w:r>
    </w:p>
    <w:p>
      <w:pPr>
        <w:pStyle w:val="Heading1"/>
      </w:pPr>
      <w:r>
        <w:t xml:space="preserve">2:05-2:35  |  Compare an alternative</w:t>
      </w:r>
    </w:p>
    <w:p>
      <w:pPr>
        <w:pStyle w:val="Action"/>
      </w:pPr>
      <w:r>
        <w:t xml:space="preserve">On screen: Select Parking lot again. Expand Find a lower-impact layout and open the comparison.</w:t>
      </w:r>
    </w:p>
    <w:p>
      <w:pPr>
        <w:pStyle w:val="Normal"/>
      </w:pPr>
      <w:r>
        <w:t xml:space="preserve">We also compare alternative positions for the same footprint, keeping its size and shape consistent.</w:t>
      </w:r>
    </w:p>
    <w:p>
      <w:pPr>
        <w:pStyle w:val="Normal"/>
      </w:pPr>
      <w:r>
        <w:t xml:space="preserve">Users can compare the displayed vegetation and runoff estimates before choosing an alternative. We do not claim that an alternative is automatically safe or approved for construction.</w:t>
      </w:r>
    </w:p>
    <w:p>
      <w:pPr>
        <w:pStyle w:val="Heading1"/>
      </w:pPr>
      <w:r>
        <w:t xml:space="preserve">2:35-3:00  |  Explain credibility and close</w:t>
      </w:r>
    </w:p>
    <w:p>
      <w:pPr>
        <w:pStyle w:val="Action"/>
      </w:pPr>
      <w:r>
        <w:t xml:space="preserve">On screen: Open Export summary and show the Groundsource historical-context section.</w:t>
      </w:r>
    </w:p>
    <w:p>
      <w:pPr>
        <w:pStyle w:val="Normal"/>
      </w:pPr>
      <w:r>
        <w:t xml:space="preserve">The summary preserves the calculations, historical context, source attribution and original Groundsource record IDs.</w:t>
      </w:r>
    </w:p>
    <w:p>
      <w:pPr>
        <w:pStyle w:val="Normal"/>
      </w:pPr>
      <w:r>
        <w:t xml:space="preserve">Our default demonstration uses illustrative terrain. Real-location analysis supports published elevation, land-cover and soil inputs when those services are available.</w:t>
      </w:r>
    </w:p>
    <w:p>
      <w:pPr>
        <w:pStyle w:val="Normal"/>
      </w:pPr>
      <w:r>
        <w:t xml:space="preserve">RippleEffect AI supports earlier, better-informed planning conversations. It is not a calibrated flood forecast or a construction-success probability.</w:t>
      </w:r>
    </w:p>
    <w:p>
      <w:pPr>
        <w:pStyle w:val="Heading1"/>
      </w:pPr>
      <w:r>
        <w:t xml:space="preserve">Recording reminders</w:t>
      </w:r>
    </w:p>
    <w:p>
      <w:pPr>
        <w:pStyle w:val="Action"/>
      </w:pPr>
      <w:r>
        <w:t xml:space="preserve">Say “the app estimates” rather than “this will happen.” Read current on-screen values. Historical record counts are not unique flood counts or probabilities. Use the bundled scenario if external local-data services are slow.</w:t>
      </w:r>
    </w:p>
    <w:p>
      <w:pPr>
        <w:pStyle w:val="Source"/>
      </w:pPr>
      <w:r>
        <w:t xml:space="preserve">Original dataset: https://zenodo.org/records/18647054</w:t>
      </w:r>
    </w:p>
    <w:p>
      <w:pPr>
        <w:pStyle w:val="Source"/>
      </w:pPr>
      <w:r>
        <w:t xml:space="preserve">Google announcement: https://research.google/blog/introducing-groundsource-turning-news-reports-into-data-with-gemini/</w:t>
      </w:r>
    </w:p>
    <w:sectPr>
      <w:footerReference w:type="default" r:id="rId2"/>
      <w:pgSz w:w="11906" w:h="16838"/>
      <w:pgMar w:top="950" w:right="1000" w:bottom="950" w:left="1000" w:header="400" w:footer="400"/>
    </w:sectPr>
  </w:body>
</w:document>
</file>

<file path=word/footer1.xml><?xml version="1.0" encoding="utf-8"?>
<w:ftr xmlns:w="http://schemas.openxmlformats.org/wordprocessingml/2006/main">
  <w:p>
    <w:pPr>
      <w:jc w:val="right"/>
    </w:pPr>
    <w:r>
      <w:rPr>
        <w:sz w:val="18"/>
        <w:color w:val="60747C"/>
      </w:rPr>
      <w:t>RippleEffect AI | </w:t>
    </w:r>
    <w:fldSimple w:instr="PAGE"/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20333B"/>
      </w:rPr>
    </w:rPrDefault>
    <w:pPrDefault>
      <w:pPr>
        <w:spacing w:after="100" w:line="270" w:lineRule="auto"/>
      </w:pPr>
    </w:pPrDefault>
  </w:docDefaults>
  <w:style w:type="paragraph" w:default="1" w:styleId="Normal">
    <w:name w:val="Normal"/>
  </w:style>
  <w:style w:type="paragraph" w:styleId="Title">
    <w:name w:val="Title"/>
    <w:pPr>
      <w:spacing w:after="60"/>
    </w:pPr>
    <w:rPr>
      <w:b/>
      <w:sz w:val="42"/>
      <w:color w:val="087E70"/>
    </w:rPr>
  </w:style>
  <w:style w:type="paragraph" w:styleId="Subtitle">
    <w:name w:val="Subtitle"/>
    <w:pPr>
      <w:spacing w:after="180"/>
    </w:pPr>
    <w:rPr>
      <w:sz w:val="24"/>
      <w:color w:val="60747C"/>
    </w:rPr>
  </w:style>
  <w:style w:type="paragraph" w:styleId="Heading1">
    <w:name w:val="heading 1"/>
    <w:pPr>
      <w:keepNext/>
      <w:spacing w:before="180" w:after="80"/>
    </w:pPr>
    <w:rPr>
      <w:b/>
      <w:sz w:val="25"/>
      <w:color w:val="087E70"/>
    </w:rPr>
  </w:style>
  <w:style w:type="paragraph" w:styleId="Action">
    <w:name w:val="Action"/>
    <w:rPr>
      <w:i/>
      <w:sz w:val="19"/>
      <w:color w:val="60747C"/>
    </w:rPr>
  </w:style>
  <w:style w:type="paragraph" w:styleId="Source">
    <w:name w:val="Source"/>
    <w:rPr>
      <w:sz w:val="17"/>
      <w:color w:val="60747C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