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2CB30" w14:textId="5C0055B2" w:rsidR="00573386" w:rsidRDefault="00C165ED" w:rsidP="00C165ED">
      <w:pPr>
        <w:spacing w:after="0" w:line="360" w:lineRule="auto"/>
      </w:pPr>
      <w:r>
        <w:t xml:space="preserve">Cell </w:t>
      </w:r>
      <w:proofErr w:type="spellStart"/>
      <w:r>
        <w:t>PyAbility</w:t>
      </w:r>
      <w:proofErr w:type="spellEnd"/>
      <w:r>
        <w:t xml:space="preserve"> draft</w:t>
      </w:r>
    </w:p>
    <w:p w14:paraId="754D1DDB" w14:textId="4C2ABFBF" w:rsidR="00C165ED" w:rsidRDefault="00C165ED" w:rsidP="00C165ED">
      <w:pPr>
        <w:spacing w:after="0" w:line="360" w:lineRule="auto"/>
      </w:pPr>
      <w:r>
        <w:t>20241110</w:t>
      </w:r>
    </w:p>
    <w:p w14:paraId="013BF164" w14:textId="77777777" w:rsidR="00C165ED" w:rsidRDefault="00C165ED" w:rsidP="00C165ED">
      <w:pPr>
        <w:spacing w:after="0" w:line="360" w:lineRule="auto"/>
      </w:pPr>
    </w:p>
    <w:p w14:paraId="2EA943E1" w14:textId="77777777" w:rsidR="00940514" w:rsidRDefault="0020726B" w:rsidP="00C165ED">
      <w:pPr>
        <w:spacing w:after="0" w:line="360" w:lineRule="auto"/>
        <w:rPr>
          <w:b/>
          <w:bCs/>
        </w:rPr>
      </w:pPr>
      <w:r>
        <w:rPr>
          <w:b/>
          <w:bCs/>
        </w:rPr>
        <w:t>Title</w:t>
      </w:r>
    </w:p>
    <w:p w14:paraId="33582469" w14:textId="5F03C4FF" w:rsidR="0020726B" w:rsidRDefault="0020726B" w:rsidP="00C165ED">
      <w:pPr>
        <w:spacing w:after="0" w:line="360" w:lineRule="auto"/>
      </w:pPr>
      <w:r>
        <w:t>CellPyAbility: a streamlined toolkit for assessing cell viability</w:t>
      </w:r>
    </w:p>
    <w:p w14:paraId="6BE78821" w14:textId="77777777" w:rsidR="00940514" w:rsidRPr="0020726B" w:rsidRDefault="00940514" w:rsidP="00C165ED">
      <w:pPr>
        <w:spacing w:after="0" w:line="360" w:lineRule="auto"/>
      </w:pPr>
    </w:p>
    <w:p w14:paraId="4DB50B31" w14:textId="14C3634B" w:rsidR="00AF591C" w:rsidRPr="00827EBB" w:rsidRDefault="00AF591C" w:rsidP="00C165ED">
      <w:pPr>
        <w:spacing w:after="0" w:line="360" w:lineRule="auto"/>
      </w:pPr>
      <w:r>
        <w:rPr>
          <w:b/>
          <w:bCs/>
        </w:rPr>
        <w:t>Summary</w:t>
      </w:r>
    </w:p>
    <w:p w14:paraId="15E9F6C4" w14:textId="0AFC0FCE" w:rsidR="00C165ED" w:rsidRDefault="00C165ED" w:rsidP="00507F27">
      <w:pPr>
        <w:spacing w:after="0" w:line="360" w:lineRule="auto"/>
        <w:jc w:val="both"/>
      </w:pPr>
      <w:r>
        <w:t>Across cell biology, assessing viability and proliferation in response to chemical gradients is often essential. Herein, we provide a cell viability “starter kit” that includes detailed protocols for high-throughput cell viability assays in response to a single agent or two agents in combination</w:t>
      </w:r>
      <w:r w:rsidR="00924AA9">
        <w:t xml:space="preserve"> at varying concentrations</w:t>
      </w:r>
      <w:r w:rsidR="001A30A3">
        <w:t xml:space="preserve"> with several advantages over other methods</w:t>
      </w:r>
      <w:r w:rsidR="00924AA9">
        <w:t>. We also provide two automation tools</w:t>
      </w:r>
      <w:r w:rsidR="003522CB">
        <w:t xml:space="preserve"> tailored to the protocols</w:t>
      </w:r>
      <w:r w:rsidR="00924AA9">
        <w:t xml:space="preserve"> that </w:t>
      </w:r>
      <w:r w:rsidR="00037647">
        <w:t>output</w:t>
      </w:r>
      <w:r w:rsidR="00924AA9">
        <w:t xml:space="preserve"> detailed tabular and graphical analys</w:t>
      </w:r>
      <w:r w:rsidR="00037647">
        <w:t>e</w:t>
      </w:r>
      <w:r w:rsidR="00924AA9">
        <w:t>s of the experiment</w:t>
      </w:r>
      <w:r w:rsidR="003522CB">
        <w:t xml:space="preserve"> from </w:t>
      </w:r>
      <w:r w:rsidR="00037647">
        <w:t xml:space="preserve">bulk </w:t>
      </w:r>
      <w:r w:rsidR="00EB7DF5">
        <w:t>raw</w:t>
      </w:r>
      <w:r w:rsidR="003522CB">
        <w:t xml:space="preserve"> image</w:t>
      </w:r>
      <w:r w:rsidR="00037647">
        <w:t xml:space="preserve"> input.</w:t>
      </w:r>
    </w:p>
    <w:p w14:paraId="6E13D22F" w14:textId="77777777" w:rsidR="00AF591C" w:rsidRDefault="00AF591C" w:rsidP="00507F27">
      <w:pPr>
        <w:spacing w:after="0" w:line="360" w:lineRule="auto"/>
        <w:jc w:val="both"/>
      </w:pPr>
    </w:p>
    <w:p w14:paraId="24CFC241" w14:textId="157DF3A2" w:rsidR="00AF591C" w:rsidRDefault="00AF591C" w:rsidP="00507F27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>Introduction</w:t>
      </w:r>
    </w:p>
    <w:p w14:paraId="1C7F15BE" w14:textId="38180836" w:rsidR="00AF591C" w:rsidRDefault="00940514" w:rsidP="00507F27">
      <w:pPr>
        <w:spacing w:after="0" w:line="360" w:lineRule="auto"/>
        <w:jc w:val="both"/>
      </w:pPr>
      <w:r>
        <w:t xml:space="preserve">Across disparate fields of cell biology, researchers </w:t>
      </w:r>
      <w:r w:rsidR="0089147C">
        <w:t>often use dose-response curves to determine the relationship between a chemical and cell viability.</w:t>
      </w:r>
      <w:r w:rsidR="00B93BE1">
        <w:t xml:space="preserve"> In cancer biology, our lab often uses short-term (5-day) cell viability assays to assess the selectivity of drugs against specific genetic alterations</w:t>
      </w:r>
      <w:r w:rsidR="00A730FD">
        <w:t xml:space="preserve"> found in tumors</w:t>
      </w:r>
      <w:r w:rsidR="00B93BE1">
        <w:t xml:space="preserve">. For example, the DNA repair protein methylguanine methyltransferase (MGMT) directly removes certain alkylation products from the </w:t>
      </w:r>
      <w:r w:rsidR="00B93BE1">
        <w:rPr>
          <w:i/>
          <w:iCs/>
        </w:rPr>
        <w:t>O6</w:t>
      </w:r>
      <w:r w:rsidR="00A730FD">
        <w:t>-</w:t>
      </w:r>
      <w:r w:rsidR="00B93BE1">
        <w:t>position of guanine in DNA.</w:t>
      </w:r>
      <w:r w:rsidR="00B442EA">
        <w:t xml:space="preserve"> MGMT is hypermethylated in some tumors, abrogating expression of the protein and resulting in sensitivity to certain DNA-damaging agents.</w:t>
      </w:r>
      <w:r w:rsidR="00A730FD">
        <w:t xml:space="preserve"> Normal tissue retains MGMT expression and is therefore resistant to these agents.</w:t>
      </w:r>
      <w:r w:rsidR="00B442EA">
        <w:t xml:space="preserve"> Using the</w:t>
      </w:r>
      <w:r w:rsidR="00A730FD">
        <w:t xml:space="preserve"> high-throughput</w:t>
      </w:r>
      <w:r w:rsidR="00B442EA">
        <w:t xml:space="preserve"> methods described herein, we assessed </w:t>
      </w:r>
      <w:r w:rsidR="00A730FD">
        <w:t>novel</w:t>
      </w:r>
      <w:r w:rsidR="00B442EA">
        <w:t xml:space="preserve"> </w:t>
      </w:r>
      <w:r w:rsidR="007E759E">
        <w:t>compounds</w:t>
      </w:r>
      <w:r w:rsidR="00A730FD">
        <w:t xml:space="preserve"> for their selectivity against MGMT-deficient tumor cells and identified a highly selective </w:t>
      </w:r>
      <w:r w:rsidR="00264CD6" w:rsidRPr="00EF4BA8">
        <w:rPr>
          <w:highlight w:val="yellow"/>
        </w:rPr>
        <w:t>compound</w:t>
      </w:r>
      <w:r w:rsidR="00A730FD">
        <w:t xml:space="preserve"> that overcame a common mechanism of resistance</w:t>
      </w:r>
      <w:r w:rsidR="00BA614B">
        <w:t xml:space="preserve"> in</w:t>
      </w:r>
      <w:r w:rsidR="00AA3E22">
        <w:t xml:space="preserve"> glioblastoma, a deadly</w:t>
      </w:r>
      <w:r w:rsidR="00BA614B">
        <w:t xml:space="preserve"> brain cancer</w:t>
      </w:r>
      <w:r w:rsidR="00A730FD">
        <w:t>.</w:t>
      </w:r>
      <w:r w:rsidR="00332038">
        <w:t xml:space="preserve"> </w:t>
      </w:r>
      <w:r w:rsidR="005F61B7">
        <w:t>While assessing a gene-drug interaction in cancer is one example, the assay could be similarly applied to determining the potency of environmental toxins, the efficacy of anti-microbial agents, the growth benefit of a metabolite, or various other applications spanning cell biology.</w:t>
      </w:r>
    </w:p>
    <w:p w14:paraId="7135144F" w14:textId="77777777" w:rsidR="005936CD" w:rsidRDefault="005936CD" w:rsidP="00507F27">
      <w:pPr>
        <w:spacing w:after="0" w:line="360" w:lineRule="auto"/>
        <w:jc w:val="both"/>
      </w:pPr>
    </w:p>
    <w:p w14:paraId="1CE655A8" w14:textId="583319C6" w:rsidR="005936CD" w:rsidRPr="00B93BE1" w:rsidRDefault="005936CD" w:rsidP="00507F27">
      <w:pPr>
        <w:spacing w:after="0" w:line="360" w:lineRule="auto"/>
        <w:jc w:val="both"/>
      </w:pPr>
      <w:r>
        <w:t>Similarly, a researcher may want to assess how two chemicals act in combination with one another across a wide range of concentrations.</w:t>
      </w:r>
    </w:p>
    <w:sectPr w:rsidR="005936CD" w:rsidRPr="00B93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ED"/>
    <w:rsid w:val="00037647"/>
    <w:rsid w:val="001A30A3"/>
    <w:rsid w:val="0020726B"/>
    <w:rsid w:val="00264CD6"/>
    <w:rsid w:val="002C5A32"/>
    <w:rsid w:val="00332038"/>
    <w:rsid w:val="003522CB"/>
    <w:rsid w:val="00507F27"/>
    <w:rsid w:val="00572F27"/>
    <w:rsid w:val="00573386"/>
    <w:rsid w:val="005936CD"/>
    <w:rsid w:val="005F61B7"/>
    <w:rsid w:val="00614134"/>
    <w:rsid w:val="0072231D"/>
    <w:rsid w:val="007E759E"/>
    <w:rsid w:val="00827EBB"/>
    <w:rsid w:val="0089147C"/>
    <w:rsid w:val="00924AA9"/>
    <w:rsid w:val="00940514"/>
    <w:rsid w:val="00A730FD"/>
    <w:rsid w:val="00AA3E22"/>
    <w:rsid w:val="00AF591C"/>
    <w:rsid w:val="00B442EA"/>
    <w:rsid w:val="00B920F9"/>
    <w:rsid w:val="00B93BE1"/>
    <w:rsid w:val="00BA614B"/>
    <w:rsid w:val="00BF0234"/>
    <w:rsid w:val="00C165ED"/>
    <w:rsid w:val="00D3191F"/>
    <w:rsid w:val="00EB7DF5"/>
    <w:rsid w:val="00EF4BA8"/>
    <w:rsid w:val="00F7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8059"/>
  <w15:chartTrackingRefBased/>
  <w15:docId w15:val="{8A7DFBF8-1EE5-47D9-90E7-D1B3E88D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5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Elia, James</dc:creator>
  <cp:keywords/>
  <dc:description/>
  <cp:lastModifiedBy>Elia, James</cp:lastModifiedBy>
  <cp:revision>1</cp:revision>
  <dcterms:created xsi:type="dcterms:W3CDTF">2024-11-10T15:02:00Z</dcterms:created>
  <dcterms:modified xsi:type="dcterms:W3CDTF">2024-11-27T15:29:00Z</dcterms:modified>
</cp:coreProperties>
</file>