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5C"/>
          <w:sz w:val="56"/>
          <w:szCs w:val="56"/>
        </w:rPr>
        <w:t xml:space="preserve">Student Success Prediction</w:t>
      </w:r>
    </w:p>
    <w:p>
      <w:pPr>
        <w:spacing w:after="60" w:before="0"/>
        <w:jc w:val="center"/>
      </w:pPr>
      <w:r>
        <w:rPr>
          <w:rFonts w:ascii="Arial" w:cs="Arial" w:eastAsia="Arial" w:hAnsi="Arial"/>
          <w:color w:val="4A90C4"/>
          <w:sz w:val="32"/>
          <w:szCs w:val="32"/>
        </w:rPr>
        <w:t xml:space="preserve">with Uncertainty Quantification &amp; Explainable AI</w:t>
      </w:r>
    </w:p>
    <w:p>
      <w:pPr>
        <w:spacing w:after="480" w:before="0"/>
        <w:jc w:val="center"/>
      </w:pPr>
      <w:r>
        <w:rPr>
          <w:rFonts w:ascii="Arial" w:cs="Arial" w:eastAsia="Arial" w:hAnsi="Arial"/>
          <w:i/>
          <w:iCs/>
          <w:color w:val="555555"/>
          <w:sz w:val="22"/>
          <w:szCs w:val="22"/>
        </w:rPr>
        <w:t xml:space="preserve">Technical Documentation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6DA4" w:val="clear"/>
            <w:tcMar>
              <w:top w:type="dxa" w:w="0"/>
              <w:left w:type="dxa" w:w="0"/>
              <w:bottom w:type="dxa" w:w="0"/>
              <w:right w:type="dxa" w:w="0"/>
            </w:tcMar>
          </w:tcPr>
          <w:p>
            <w:r>
              <w:t xml:space="preserve"/>
            </w:r>
          </w:p>
        </w:tc>
      </w:tr>
    </w:tbl>
    <w:p>
      <w:pPr>
        <w:spacing w:after="200" w:before="20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1. Introduction</w:t>
      </w:r>
    </w:p>
    <w:p>
      <w:pPr>
        <w:spacing w:after="80" w:before="80" w:line="320"/>
      </w:pPr>
      <w:r>
        <w:rPr>
          <w:rFonts w:ascii="Arial" w:cs="Arial" w:eastAsia="Arial" w:hAnsi="Arial"/>
          <w:b w:val="false"/>
          <w:bCs w:val="false"/>
          <w:color w:val="555555"/>
          <w:sz w:val="22"/>
          <w:szCs w:val="22"/>
        </w:rPr>
        <w:t xml:space="preserve">This document describes a machine learning system designed to predict student academic success. Unlike conventional predictive models that output only a single result, this system is built to answer three fundamental questions:</w:t>
      </w:r>
    </w:p>
    <w:p>
      <w:pPr>
        <w:spacing w:after="50" w:before="50"/>
      </w:pPr>
      <w:r>
        <w:t xml:space="preserve"/>
      </w:r>
    </w:p>
    <w:p>
      <w:pPr>
        <w:pStyle w:val="ListParagraph"/>
        <w:numPr>
          <w:ilvl w:val="0"/>
          <w:numId w:val="2"/>
        </w:numPr>
        <w:spacing w:after="60" w:before="60"/>
      </w:pPr>
      <w:r>
        <w:rPr>
          <w:rFonts w:ascii="Arial" w:cs="Arial" w:eastAsia="Arial" w:hAnsi="Arial"/>
          <w:color w:val="555555"/>
          <w:sz w:val="22"/>
          <w:szCs w:val="22"/>
        </w:rPr>
        <w:t xml:space="preserve">What is the predicted outcome? (Pass or Fail probability)</w:t>
      </w:r>
    </w:p>
    <w:p>
      <w:pPr>
        <w:pStyle w:val="ListParagraph"/>
        <w:numPr>
          <w:ilvl w:val="0"/>
          <w:numId w:val="2"/>
        </w:numPr>
        <w:spacing w:after="60" w:before="60"/>
      </w:pPr>
      <w:r>
        <w:rPr>
          <w:rFonts w:ascii="Arial" w:cs="Arial" w:eastAsia="Arial" w:hAnsi="Arial"/>
          <w:color w:val="555555"/>
          <w:sz w:val="22"/>
          <w:szCs w:val="22"/>
        </w:rPr>
        <w:t xml:space="preserve">How confident is the model in that prediction? (Uncertainty level)</w:t>
      </w:r>
    </w:p>
    <w:p>
      <w:pPr>
        <w:pStyle w:val="ListParagraph"/>
        <w:numPr>
          <w:ilvl w:val="0"/>
          <w:numId w:val="2"/>
        </w:numPr>
        <w:spacing w:after="60" w:before="60"/>
      </w:pPr>
      <w:r>
        <w:rPr>
          <w:rFonts w:ascii="Arial" w:cs="Arial" w:eastAsia="Arial" w:hAnsi="Arial"/>
          <w:color w:val="555555"/>
          <w:sz w:val="22"/>
          <w:szCs w:val="22"/>
        </w:rPr>
        <w:t xml:space="preserve">Why did the model produce this result? (Feature-based explanation)</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By addressing all three questions simultaneously, the system enables educators, advisors, and students to make better-informed decisions — not just act on a number.</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2. Motivation</w:t>
      </w:r>
    </w:p>
    <w:p>
      <w:pPr>
        <w:spacing w:after="80" w:before="80" w:line="320"/>
      </w:pPr>
      <w:r>
        <w:rPr>
          <w:rFonts w:ascii="Arial" w:cs="Arial" w:eastAsia="Arial" w:hAnsi="Arial"/>
          <w:b w:val="false"/>
          <w:bCs w:val="false"/>
          <w:color w:val="555555"/>
          <w:sz w:val="22"/>
          <w:szCs w:val="22"/>
        </w:rPr>
        <w:t xml:space="preserve">Traditional machine learning classifiers produce deterministic predictions: a single probability score with no accompanying measure of reliability. In educational settings, this is a significant limitation.</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Consider two predictions that both show a 65% pass probability:</w:t>
      </w:r>
    </w:p>
    <w:p>
      <w:pPr>
        <w:spacing w:after="50" w:before="50"/>
      </w:pPr>
      <w:r>
        <w:t xml:space="preserve"/>
      </w:r>
    </w:p>
    <w:p>
      <w:pPr>
        <w:pStyle w:val="ListParagraph"/>
        <w:numPr>
          <w:ilvl w:val="0"/>
          <w:numId w:val="2"/>
        </w:numPr>
        <w:spacing w:after="60" w:before="60"/>
      </w:pPr>
      <w:r>
        <w:rPr>
          <w:rFonts w:ascii="Arial" w:cs="Arial" w:eastAsia="Arial" w:hAnsi="Arial"/>
          <w:color w:val="555555"/>
          <w:sz w:val="22"/>
          <w:szCs w:val="22"/>
        </w:rPr>
        <w:t xml:space="preserve">One model is highly confident — uncertainty of ± 3%</w:t>
      </w:r>
    </w:p>
    <w:p>
      <w:pPr>
        <w:pStyle w:val="ListParagraph"/>
        <w:numPr>
          <w:ilvl w:val="0"/>
          <w:numId w:val="2"/>
        </w:numPr>
        <w:spacing w:after="60" w:before="60"/>
      </w:pPr>
      <w:r>
        <w:rPr>
          <w:rFonts w:ascii="Arial" w:cs="Arial" w:eastAsia="Arial" w:hAnsi="Arial"/>
          <w:color w:val="555555"/>
          <w:sz w:val="22"/>
          <w:szCs w:val="22"/>
        </w:rPr>
        <w:t xml:space="preserve">Another is uncertain — uncertainty of ± 25%</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The appropriate response to each scenario is very different. The first may require no intervention; the second warrants further investigation before acting. Without uncertainty information, both cases look identical — and decisions suffer as a result.</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This project addresses that gap by pairing every prediction with a quantified confidence measure and a human-readable explanation of which student factors drove the outcome.</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3. Methodology</w:t>
      </w:r>
    </w:p>
    <w:p>
      <w:pPr>
        <w:pStyle w:val="Heading2"/>
        <w:spacing w:after="80" w:before="280"/>
      </w:pPr>
      <w:r>
        <w:rPr>
          <w:rFonts w:ascii="Arial" w:cs="Arial" w:eastAsia="Arial" w:hAnsi="Arial"/>
          <w:b/>
          <w:bCs/>
          <w:color w:val="2E6DA4"/>
          <w:sz w:val="26"/>
          <w:szCs w:val="26"/>
        </w:rPr>
        <w:t xml:space="preserve">3.1  Dataset &amp; Features</w:t>
      </w:r>
    </w:p>
    <w:p>
      <w:pPr>
        <w:spacing w:after="80" w:before="80" w:line="320"/>
      </w:pPr>
      <w:r>
        <w:rPr>
          <w:rFonts w:ascii="Arial" w:cs="Arial" w:eastAsia="Arial" w:hAnsi="Arial"/>
          <w:b w:val="false"/>
          <w:bCs w:val="false"/>
          <w:color w:val="555555"/>
          <w:sz w:val="22"/>
          <w:szCs w:val="22"/>
        </w:rPr>
        <w:t xml:space="preserve">The model is trained on the Student Performance Dataset (publicly available on Kaggle). Five input features were selected for their predictive relevance: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320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Type</w:t>
            </w:r>
          </w:p>
        </w:tc>
        <w:tc>
          <w:tcPr>
            <w:tcW w:type="dxa" w:w="416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0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studytime</w:t>
            </w:r>
          </w:p>
        </w:tc>
        <w:tc>
          <w:tcPr>
            <w:tcW w:type="dxa" w:w="32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Numeric</w:t>
            </w:r>
          </w:p>
        </w:tc>
        <w:tc>
          <w:tcPr>
            <w:tcW w:type="dxa" w:w="416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Weekly study hours (1–4 scale)</w:t>
            </w:r>
          </w:p>
        </w:tc>
      </w:tr>
      <w:tr>
        <w:tc>
          <w:tcPr>
            <w:tcW w:type="dxa" w:w="20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failures</w:t>
            </w:r>
          </w:p>
        </w:tc>
        <w:tc>
          <w:tcPr>
            <w:tcW w:type="dxa" w:w="32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Numeric</w:t>
            </w:r>
          </w:p>
        </w:tc>
        <w:tc>
          <w:tcPr>
            <w:tcW w:type="dxa" w:w="416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Number of past class failures</w:t>
            </w:r>
          </w:p>
        </w:tc>
      </w:tr>
      <w:tr>
        <w:tc>
          <w:tcPr>
            <w:tcW w:type="dxa" w:w="20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absences</w:t>
            </w:r>
          </w:p>
        </w:tc>
        <w:tc>
          <w:tcPr>
            <w:tcW w:type="dxa" w:w="32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Numeric</w:t>
            </w:r>
          </w:p>
        </w:tc>
        <w:tc>
          <w:tcPr>
            <w:tcW w:type="dxa" w:w="416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Total school absences</w:t>
            </w:r>
          </w:p>
        </w:tc>
      </w:tr>
      <w:tr>
        <w:tc>
          <w:tcPr>
            <w:tcW w:type="dxa" w:w="20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G1</w:t>
            </w:r>
          </w:p>
        </w:tc>
        <w:tc>
          <w:tcPr>
            <w:tcW w:type="dxa" w:w="32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Numeric</w:t>
            </w:r>
          </w:p>
        </w:tc>
        <w:tc>
          <w:tcPr>
            <w:tcW w:type="dxa" w:w="416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First period grade (0–20)</w:t>
            </w:r>
          </w:p>
        </w:tc>
      </w:tr>
      <w:tr>
        <w:tc>
          <w:tcPr>
            <w:tcW w:type="dxa" w:w="20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G2</w:t>
            </w:r>
          </w:p>
        </w:tc>
        <w:tc>
          <w:tcPr>
            <w:tcW w:type="dxa" w:w="32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Numeric</w:t>
            </w:r>
          </w:p>
        </w:tc>
        <w:tc>
          <w:tcPr>
            <w:tcW w:type="dxa" w:w="416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Second period grade (0–20)</w:t>
            </w:r>
          </w:p>
        </w:tc>
      </w:tr>
    </w:tbl>
    <w:p>
      <w:pPr>
        <w:spacing w:after="80" w:before="80"/>
      </w:pPr>
      <w:r>
        <w:t xml:space="preserve"/>
      </w:r>
    </w:p>
    <w:p>
      <w:pPr>
        <w:spacing w:after="80" w:before="80" w:line="320"/>
      </w:pPr>
      <w:r>
        <w:rPr>
          <w:rFonts w:ascii="Arial" w:cs="Arial" w:eastAsia="Arial" w:hAnsi="Arial"/>
          <w:b w:val="false"/>
          <w:bCs w:val="false"/>
          <w:color w:val="555555"/>
          <w:sz w:val="22"/>
          <w:szCs w:val="22"/>
        </w:rPr>
        <w:t xml:space="preserve">Target variable: Pass / Fail — derived from the final grade G3. A student passes if G3 ≥ 10.</w:t>
      </w:r>
    </w:p>
    <w:p>
      <w:pPr>
        <w:spacing w:after="150" w:before="150"/>
      </w:pPr>
      <w:r>
        <w:t xml:space="preserve"/>
      </w:r>
    </w:p>
    <w:p>
      <w:pPr>
        <w:pStyle w:val="Heading2"/>
        <w:spacing w:after="80" w:before="280"/>
      </w:pPr>
      <w:r>
        <w:rPr>
          <w:rFonts w:ascii="Arial" w:cs="Arial" w:eastAsia="Arial" w:hAnsi="Arial"/>
          <w:b/>
          <w:bCs/>
          <w:color w:val="2E6DA4"/>
          <w:sz w:val="26"/>
          <w:szCs w:val="26"/>
        </w:rPr>
        <w:t xml:space="preserve">3.2  Predictive Model</w:t>
      </w:r>
    </w:p>
    <w:p>
      <w:pPr>
        <w:spacing w:after="80" w:before="80" w:line="320"/>
      </w:pPr>
      <w:r>
        <w:rPr>
          <w:rFonts w:ascii="Arial" w:cs="Arial" w:eastAsia="Arial" w:hAnsi="Arial"/>
          <w:b w:val="false"/>
          <w:bCs w:val="false"/>
          <w:color w:val="555555"/>
          <w:sz w:val="22"/>
          <w:szCs w:val="22"/>
        </w:rPr>
        <w:t xml:space="preserve">A Random Forest Classifier was selected as the core prediction engine due to its robustness, resistance to overfitting, and native support for feature importance analysis.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8CCE0" w:sz="1"/>
              <w:left w:val="single" w:color="B8CCE0" w:sz="1"/>
              <w:bottom w:val="single" w:color="B8CCE0" w:sz="1"/>
              <w:right w:val="single" w:color="B8CCE0" w:sz="1"/>
            </w:tcBorders>
            <w:shd w:fill="2E6DA4" w:val="clear"/>
            <w:tcMar>
              <w:top w:type="dxa" w:w="100"/>
              <w:left w:type="dxa" w:w="160"/>
              <w:bottom w:type="dxa" w:w="100"/>
              <w:right w:type="dxa" w:w="160"/>
            </w:tcMar>
            <w:vAlign w:val="center"/>
          </w:tcPr>
          <w:p>
            <w:r>
              <w:rPr>
                <w:rFonts w:ascii="Arial" w:cs="Arial" w:eastAsia="Arial" w:hAnsi="Arial"/>
                <w:b/>
                <w:bCs/>
                <w:color w:val="FFFFFF"/>
                <w:sz w:val="22"/>
                <w:szCs w:val="22"/>
              </w:rPr>
              <w:t xml:space="preserve">Algorithm</w:t>
            </w:r>
          </w:p>
        </w:tc>
        <w:tc>
          <w:tcPr>
            <w:tcW w:type="dxa" w:w="6860"/>
            <w:tcBorders>
              <w:top w:val="single" w:color="B8CCE0" w:sz="1"/>
              <w:left w:val="single" w:color="B8CCE0" w:sz="1"/>
              <w:bottom w:val="single" w:color="B8CCE0" w:sz="1"/>
              <w:right w:val="single" w:color="B8CCE0" w:sz="1"/>
            </w:tcBorders>
            <w:shd w:fill="D6E8F7" w:val="clear"/>
            <w:tcMar>
              <w:top w:type="dxa" w:w="100"/>
              <w:left w:type="dxa" w:w="160"/>
              <w:bottom w:type="dxa" w:w="100"/>
              <w:right w:type="dxa" w:w="160"/>
            </w:tcMar>
          </w:tcPr>
          <w:p>
            <w:r>
              <w:rPr>
                <w:rFonts w:ascii="Arial" w:cs="Arial" w:eastAsia="Arial" w:hAnsi="Arial"/>
                <w:color w:val="1A3A5C"/>
                <w:sz w:val="22"/>
                <w:szCs w:val="22"/>
              </w:rPr>
              <w:t xml:space="preserve">Random Forest Classifier</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8CCE0" w:sz="1"/>
              <w:left w:val="single" w:color="B8CCE0" w:sz="1"/>
              <w:bottom w:val="single" w:color="B8CCE0" w:sz="1"/>
              <w:right w:val="single" w:color="B8CCE0" w:sz="1"/>
            </w:tcBorders>
            <w:shd w:fill="2E6DA4" w:val="clear"/>
            <w:tcMar>
              <w:top w:type="dxa" w:w="100"/>
              <w:left w:type="dxa" w:w="160"/>
              <w:bottom w:type="dxa" w:w="100"/>
              <w:right w:type="dxa" w:w="160"/>
            </w:tcMar>
            <w:vAlign w:val="center"/>
          </w:tcPr>
          <w:p>
            <w:r>
              <w:rPr>
                <w:rFonts w:ascii="Arial" w:cs="Arial" w:eastAsia="Arial" w:hAnsi="Arial"/>
                <w:b/>
                <w:bCs/>
                <w:color w:val="FFFFFF"/>
                <w:sz w:val="22"/>
                <w:szCs w:val="22"/>
              </w:rPr>
              <w:t xml:space="preserve">Training Split</w:t>
            </w:r>
          </w:p>
        </w:tc>
        <w:tc>
          <w:tcPr>
            <w:tcW w:type="dxa" w:w="6860"/>
            <w:tcBorders>
              <w:top w:val="single" w:color="B8CCE0" w:sz="1"/>
              <w:left w:val="single" w:color="B8CCE0" w:sz="1"/>
              <w:bottom w:val="single" w:color="B8CCE0" w:sz="1"/>
              <w:right w:val="single" w:color="B8CCE0" w:sz="1"/>
            </w:tcBorders>
            <w:shd w:fill="D6E8F7" w:val="clear"/>
            <w:tcMar>
              <w:top w:type="dxa" w:w="100"/>
              <w:left w:type="dxa" w:w="160"/>
              <w:bottom w:type="dxa" w:w="100"/>
              <w:right w:type="dxa" w:w="160"/>
            </w:tcMar>
          </w:tcPr>
          <w:p>
            <w:r>
              <w:rPr>
                <w:rFonts w:ascii="Arial" w:cs="Arial" w:eastAsia="Arial" w:hAnsi="Arial"/>
                <w:color w:val="1A3A5C"/>
                <w:sz w:val="22"/>
                <w:szCs w:val="22"/>
              </w:rPr>
              <w:t xml:space="preserve">80% training / 20% testing</w:t>
            </w:r>
          </w:p>
        </w:tc>
      </w:tr>
    </w:tbl>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8CCE0" w:sz="1"/>
              <w:left w:val="single" w:color="B8CCE0" w:sz="1"/>
              <w:bottom w:val="single" w:color="B8CCE0" w:sz="1"/>
              <w:right w:val="single" w:color="B8CCE0" w:sz="1"/>
            </w:tcBorders>
            <w:shd w:fill="2E6DA4" w:val="clear"/>
            <w:tcMar>
              <w:top w:type="dxa" w:w="100"/>
              <w:left w:type="dxa" w:w="160"/>
              <w:bottom w:type="dxa" w:w="100"/>
              <w:right w:type="dxa" w:w="160"/>
            </w:tcMar>
            <w:vAlign w:val="center"/>
          </w:tcPr>
          <w:p>
            <w:r>
              <w:rPr>
                <w:rFonts w:ascii="Arial" w:cs="Arial" w:eastAsia="Arial" w:hAnsi="Arial"/>
                <w:b/>
                <w:bCs/>
                <w:color w:val="FFFFFF"/>
                <w:sz w:val="22"/>
                <w:szCs w:val="22"/>
              </w:rPr>
              <w:t xml:space="preserve">Accuracy</w:t>
            </w:r>
          </w:p>
        </w:tc>
        <w:tc>
          <w:tcPr>
            <w:tcW w:type="dxa" w:w="6860"/>
            <w:tcBorders>
              <w:top w:val="single" w:color="B8CCE0" w:sz="1"/>
              <w:left w:val="single" w:color="B8CCE0" w:sz="1"/>
              <w:bottom w:val="single" w:color="B8CCE0" w:sz="1"/>
              <w:right w:val="single" w:color="B8CCE0" w:sz="1"/>
            </w:tcBorders>
            <w:shd w:fill="D6E8F7" w:val="clear"/>
            <w:tcMar>
              <w:top w:type="dxa" w:w="100"/>
              <w:left w:type="dxa" w:w="160"/>
              <w:bottom w:type="dxa" w:w="100"/>
              <w:right w:type="dxa" w:w="160"/>
            </w:tcMar>
          </w:tcPr>
          <w:p>
            <w:r>
              <w:rPr>
                <w:rFonts w:ascii="Arial" w:cs="Arial" w:eastAsia="Arial" w:hAnsi="Arial"/>
                <w:color w:val="1A3A5C"/>
                <w:sz w:val="22"/>
                <w:szCs w:val="22"/>
              </w:rPr>
              <w:t xml:space="preserve">~90% on the held-out test set</w:t>
            </w:r>
          </w:p>
        </w:tc>
      </w:tr>
    </w:tbl>
    <w:p>
      <w:pPr>
        <w:spacing w:after="150" w:before="150"/>
      </w:pPr>
      <w:r>
        <w:t xml:space="preserve"/>
      </w:r>
    </w:p>
    <w:p>
      <w:pPr>
        <w:pStyle w:val="Heading2"/>
        <w:spacing w:after="80" w:before="280"/>
      </w:pPr>
      <w:r>
        <w:rPr>
          <w:rFonts w:ascii="Arial" w:cs="Arial" w:eastAsia="Arial" w:hAnsi="Arial"/>
          <w:b/>
          <w:bCs/>
          <w:color w:val="2E6DA4"/>
          <w:sz w:val="26"/>
          <w:szCs w:val="26"/>
        </w:rPr>
        <w:t xml:space="preserve">3.3  Uncertainty Quantification</w:t>
      </w:r>
    </w:p>
    <w:p>
      <w:pPr>
        <w:spacing w:after="80" w:before="80" w:line="320"/>
      </w:pPr>
      <w:r>
        <w:rPr>
          <w:rFonts w:ascii="Arial" w:cs="Arial" w:eastAsia="Arial" w:hAnsi="Arial"/>
          <w:b w:val="false"/>
          <w:bCs w:val="false"/>
          <w:color w:val="555555"/>
          <w:sz w:val="22"/>
          <w:szCs w:val="22"/>
        </w:rPr>
        <w:t xml:space="preserve">Rather than training a single model and trusting its output, the system uses bootstrap sampling to produce a distribution of predictions:</w:t>
      </w:r>
    </w:p>
    <w:p>
      <w:pPr>
        <w:spacing w:after="50" w:before="50"/>
      </w:pPr>
      <w:r>
        <w:t xml:space="preserve"/>
      </w:r>
    </w:p>
    <w:p>
      <w:pPr>
        <w:pStyle w:val="ListParagraph"/>
        <w:numPr>
          <w:ilvl w:val="0"/>
          <w:numId w:val="2"/>
        </w:numPr>
        <w:spacing w:after="60" w:before="60"/>
      </w:pPr>
      <w:r>
        <w:rPr>
          <w:rFonts w:ascii="Arial" w:cs="Arial" w:eastAsia="Arial" w:hAnsi="Arial"/>
          <w:color w:val="555555"/>
          <w:sz w:val="22"/>
          <w:szCs w:val="22"/>
        </w:rPr>
        <w:t xml:space="preserve">50 bootstrap samples are drawn from the training data</w:t>
      </w:r>
    </w:p>
    <w:p>
      <w:pPr>
        <w:pStyle w:val="ListParagraph"/>
        <w:numPr>
          <w:ilvl w:val="0"/>
          <w:numId w:val="2"/>
        </w:numPr>
        <w:spacing w:after="60" w:before="60"/>
      </w:pPr>
      <w:r>
        <w:rPr>
          <w:rFonts w:ascii="Arial" w:cs="Arial" w:eastAsia="Arial" w:hAnsi="Arial"/>
          <w:color w:val="555555"/>
          <w:sz w:val="22"/>
          <w:szCs w:val="22"/>
        </w:rPr>
        <w:t xml:space="preserve">A separate Random Forest is trained on each sample</w:t>
      </w:r>
    </w:p>
    <w:p>
      <w:pPr>
        <w:pStyle w:val="ListParagraph"/>
        <w:numPr>
          <w:ilvl w:val="0"/>
          <w:numId w:val="2"/>
        </w:numPr>
        <w:spacing w:after="60" w:before="60"/>
      </w:pPr>
      <w:r>
        <w:rPr>
          <w:rFonts w:ascii="Arial" w:cs="Arial" w:eastAsia="Arial" w:hAnsi="Arial"/>
          <w:color w:val="555555"/>
          <w:sz w:val="22"/>
          <w:szCs w:val="22"/>
        </w:rPr>
        <w:t xml:space="preserve">All 50 models predict on the input student profile</w:t>
      </w:r>
    </w:p>
    <w:p>
      <w:pPr>
        <w:pStyle w:val="ListParagraph"/>
        <w:numPr>
          <w:ilvl w:val="0"/>
          <w:numId w:val="2"/>
        </w:numPr>
        <w:spacing w:after="60" w:before="60"/>
      </w:pPr>
      <w:r>
        <w:rPr>
          <w:rFonts w:ascii="Arial" w:cs="Arial" w:eastAsia="Arial" w:hAnsi="Arial"/>
          <w:color w:val="555555"/>
          <w:sz w:val="22"/>
          <w:szCs w:val="22"/>
        </w:rPr>
        <w:t xml:space="preserve">Mean of predictions → the reported pass probability</w:t>
      </w:r>
    </w:p>
    <w:p>
      <w:pPr>
        <w:pStyle w:val="ListParagraph"/>
        <w:numPr>
          <w:ilvl w:val="0"/>
          <w:numId w:val="2"/>
        </w:numPr>
        <w:spacing w:after="60" w:before="60"/>
      </w:pPr>
      <w:r>
        <w:rPr>
          <w:rFonts w:ascii="Arial" w:cs="Arial" w:eastAsia="Arial" w:hAnsi="Arial"/>
          <w:color w:val="555555"/>
          <w:sz w:val="22"/>
          <w:szCs w:val="22"/>
        </w:rPr>
        <w:t xml:space="preserve">Standard deviation of predictions → the reported uncertainty</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A small standard deviation indicates consensus across models (high confidence). A large standard deviation signals disagreement (low confidence). This is reported alongside every prediction as a ± percentage.</w:t>
      </w:r>
    </w:p>
    <w:p>
      <w:pPr>
        <w:spacing w:after="150" w:before="150"/>
      </w:pPr>
      <w:r>
        <w:t xml:space="preserve"/>
      </w:r>
    </w:p>
    <w:p>
      <w:pPr>
        <w:pStyle w:val="Heading2"/>
        <w:spacing w:after="80" w:before="280"/>
      </w:pPr>
      <w:r>
        <w:rPr>
          <w:rFonts w:ascii="Arial" w:cs="Arial" w:eastAsia="Arial" w:hAnsi="Arial"/>
          <w:b/>
          <w:bCs/>
          <w:color w:val="2E6DA4"/>
          <w:sz w:val="26"/>
          <w:szCs w:val="26"/>
        </w:rPr>
        <w:t xml:space="preserve">3.4  Explainability (XAI)</w:t>
      </w:r>
    </w:p>
    <w:p>
      <w:pPr>
        <w:spacing w:after="80" w:before="80" w:line="320"/>
      </w:pPr>
      <w:r>
        <w:rPr>
          <w:rFonts w:ascii="Arial" w:cs="Arial" w:eastAsia="Arial" w:hAnsi="Arial"/>
          <w:b w:val="false"/>
          <w:bCs w:val="false"/>
          <w:color w:val="555555"/>
          <w:sz w:val="22"/>
          <w:szCs w:val="22"/>
        </w:rPr>
        <w:t xml:space="preserve">Feature importance scores are extracted from the trained Random Forest to explain what drove each prediction. These scores show which of the five input features had the greatest influence on the outcome, making the model transparent and auditable.</w:t>
      </w:r>
    </w:p>
    <w:p>
      <w:pPr>
        <w:spacing w:after="80" w:before="80" w:line="320"/>
      </w:pPr>
      <w:r>
        <w:rPr>
          <w:rFonts w:ascii="Arial" w:cs="Arial" w:eastAsia="Arial" w:hAnsi="Arial"/>
          <w:b w:val="false"/>
          <w:bCs w:val="false"/>
          <w:color w:val="555555"/>
          <w:sz w:val="22"/>
          <w:szCs w:val="22"/>
        </w:rPr>
        <w:t xml:space="preserve">This is particularly valuable in an educational context, where stakeholders need to understand not just what the model predicts, but why — and what can be acted upon.</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4. System Outputs</w:t>
      </w:r>
    </w:p>
    <w:p>
      <w:pPr>
        <w:spacing w:after="80" w:before="80" w:line="320"/>
      </w:pPr>
      <w:r>
        <w:rPr>
          <w:rFonts w:ascii="Arial" w:cs="Arial" w:eastAsia="Arial" w:hAnsi="Arial"/>
          <w:b w:val="false"/>
          <w:bCs w:val="false"/>
          <w:color w:val="555555"/>
          <w:sz w:val="22"/>
          <w:szCs w:val="22"/>
        </w:rPr>
        <w:t xml:space="preserve">For every student profile submitted, the system returns three structured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Output</w:t>
            </w:r>
          </w:p>
        </w:tc>
        <w:tc>
          <w:tcPr>
            <w:tcW w:type="dxa" w:w="436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800"/>
            <w:tcBorders>
              <w:top w:val="single" w:color="B8CCE0" w:sz="1"/>
              <w:left w:val="single" w:color="B8CCE0" w:sz="1"/>
              <w:bottom w:val="single" w:color="B8CCE0" w:sz="1"/>
              <w:right w:val="single" w:color="B8CCE0"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Example</w:t>
            </w:r>
          </w:p>
        </w:tc>
      </w:tr>
      <w:tr>
        <w:tc>
          <w:tcPr>
            <w:tcW w:type="dxa" w:w="22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Pass Probability</w:t>
            </w:r>
          </w:p>
        </w:tc>
        <w:tc>
          <w:tcPr>
            <w:tcW w:type="dxa" w:w="436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Likelihood of the student passing (0–100%)</w:t>
            </w:r>
          </w:p>
        </w:tc>
        <w:tc>
          <w:tcPr>
            <w:tcW w:type="dxa" w:w="28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72%</w:t>
            </w:r>
          </w:p>
        </w:tc>
      </w:tr>
      <w:tr>
        <w:tc>
          <w:tcPr>
            <w:tcW w:type="dxa" w:w="22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Uncertainty</w:t>
            </w:r>
          </w:p>
        </w:tc>
        <w:tc>
          <w:tcPr>
            <w:tcW w:type="dxa" w:w="436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Model confidence expressed as standard deviation</w:t>
            </w:r>
          </w:p>
        </w:tc>
        <w:tc>
          <w:tcPr>
            <w:tcW w:type="dxa" w:w="2800"/>
            <w:tcBorders>
              <w:top w:val="single" w:color="B8CCE0" w:sz="1"/>
              <w:left w:val="single" w:color="B8CCE0" w:sz="1"/>
              <w:bottom w:val="single" w:color="B8CCE0" w:sz="1"/>
              <w:right w:val="single" w:color="B8CCE0" w:sz="1"/>
            </w:tcBorders>
            <w:shd w:fill="F4F6F9" w:val="clear"/>
            <w:tcMar>
              <w:top w:type="dxa" w:w="100"/>
              <w:left w:type="dxa" w:w="160"/>
              <w:bottom w:type="dxa" w:w="100"/>
              <w:right w:type="dxa" w:w="160"/>
            </w:tcMar>
          </w:tcPr>
          <w:p>
            <w:r>
              <w:rPr>
                <w:rFonts w:ascii="Arial" w:cs="Arial" w:eastAsia="Arial" w:hAnsi="Arial"/>
                <w:color w:val="555555"/>
                <w:sz w:val="21"/>
                <w:szCs w:val="21"/>
              </w:rPr>
              <w:t xml:space="preserve">± 8%</w:t>
            </w:r>
          </w:p>
        </w:tc>
      </w:tr>
      <w:tr>
        <w:tc>
          <w:tcPr>
            <w:tcW w:type="dxa" w:w="22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Risk Level</w:t>
            </w:r>
          </w:p>
        </w:tc>
        <w:tc>
          <w:tcPr>
            <w:tcW w:type="dxa" w:w="436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Classification to guide intervention decisions</w:t>
            </w:r>
          </w:p>
        </w:tc>
        <w:tc>
          <w:tcPr>
            <w:tcW w:type="dxa" w:w="2800"/>
            <w:tcBorders>
              <w:top w:val="single" w:color="B8CCE0" w:sz="1"/>
              <w:left w:val="single" w:color="B8CCE0" w:sz="1"/>
              <w:bottom w:val="single" w:color="B8CCE0" w:sz="1"/>
              <w:right w:val="single" w:color="B8CCE0" w:sz="1"/>
            </w:tcBorders>
            <w:shd w:fill="FFFFFF" w:val="clear"/>
            <w:tcMar>
              <w:top w:type="dxa" w:w="100"/>
              <w:left w:type="dxa" w:w="160"/>
              <w:bottom w:type="dxa" w:w="100"/>
              <w:right w:type="dxa" w:w="160"/>
            </w:tcMar>
          </w:tcPr>
          <w:p>
            <w:r>
              <w:rPr>
                <w:rFonts w:ascii="Arial" w:cs="Arial" w:eastAsia="Arial" w:hAnsi="Arial"/>
                <w:color w:val="555555"/>
                <w:sz w:val="21"/>
                <w:szCs w:val="21"/>
              </w:rPr>
              <w:t xml:space="preserve">Low Risk</w:t>
            </w:r>
          </w:p>
        </w:tc>
      </w:tr>
    </w:tbl>
    <w:p>
      <w:pPr>
        <w:spacing w:after="80" w:before="80"/>
      </w:pPr>
      <w:r>
        <w:t xml:space="preserve"/>
      </w:r>
    </w:p>
    <w:p>
      <w:pPr>
        <w:spacing w:after="80" w:before="80" w:line="320"/>
      </w:pPr>
      <w:r>
        <w:rPr>
          <w:rFonts w:ascii="Arial" w:cs="Arial" w:eastAsia="Arial" w:hAnsi="Arial"/>
          <w:b w:val="false"/>
          <w:bCs w:val="false"/>
          <w:color w:val="555555"/>
          <w:sz w:val="22"/>
          <w:szCs w:val="22"/>
        </w:rPr>
        <w:t xml:space="preserve">Risk levels are classified as follows:</w:t>
      </w:r>
    </w:p>
    <w:p>
      <w:pPr>
        <w:spacing w:after="50" w:before="50"/>
      </w:pPr>
      <w:r>
        <w:t xml:space="preserve"/>
      </w:r>
    </w:p>
    <w:p>
      <w:pPr>
        <w:pStyle w:val="ListParagraph"/>
        <w:numPr>
          <w:ilvl w:val="0"/>
          <w:numId w:val="2"/>
        </w:numPr>
        <w:spacing w:after="60" w:before="60"/>
      </w:pPr>
      <w:r>
        <w:rPr>
          <w:rFonts w:ascii="Arial" w:cs="Arial" w:eastAsia="Arial" w:hAnsi="Arial"/>
          <w:color w:val="555555"/>
          <w:sz w:val="22"/>
          <w:szCs w:val="22"/>
        </w:rPr>
        <w:t xml:space="preserve">Low Risk — Pass probability ≥ 70%, uncertainty ≤ 10%</w:t>
      </w:r>
    </w:p>
    <w:p>
      <w:pPr>
        <w:pStyle w:val="ListParagraph"/>
        <w:numPr>
          <w:ilvl w:val="0"/>
          <w:numId w:val="2"/>
        </w:numPr>
        <w:spacing w:after="60" w:before="60"/>
      </w:pPr>
      <w:r>
        <w:rPr>
          <w:rFonts w:ascii="Arial" w:cs="Arial" w:eastAsia="Arial" w:hAnsi="Arial"/>
          <w:color w:val="555555"/>
          <w:sz w:val="22"/>
          <w:szCs w:val="22"/>
        </w:rPr>
        <w:t xml:space="preserve">Moderate Risk — Pass probability 40–69%, or uncertainty 10–20%</w:t>
      </w:r>
    </w:p>
    <w:p>
      <w:pPr>
        <w:pStyle w:val="ListParagraph"/>
        <w:numPr>
          <w:ilvl w:val="0"/>
          <w:numId w:val="2"/>
        </w:numPr>
        <w:spacing w:after="60" w:before="60"/>
      </w:pPr>
      <w:r>
        <w:rPr>
          <w:rFonts w:ascii="Arial" w:cs="Arial" w:eastAsia="Arial" w:hAnsi="Arial"/>
          <w:color w:val="555555"/>
          <w:sz w:val="22"/>
          <w:szCs w:val="22"/>
        </w:rPr>
        <w:t xml:space="preserve">High Risk — Pass probability &lt; 40%, or uncertainty &gt; 20%</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5. Interactive Dashboard</w:t>
      </w:r>
    </w:p>
    <w:p>
      <w:pPr>
        <w:spacing w:after="80" w:before="80" w:line="320"/>
      </w:pPr>
      <w:r>
        <w:rPr>
          <w:rFonts w:ascii="Arial" w:cs="Arial" w:eastAsia="Arial" w:hAnsi="Arial"/>
          <w:b w:val="false"/>
          <w:bCs w:val="false"/>
          <w:color w:val="555555"/>
          <w:sz w:val="22"/>
          <w:szCs w:val="22"/>
        </w:rPr>
        <w:t xml:space="preserve">The system includes a Streamlit-based web dashboard that allows users to interact with the model in real time. No coding knowledge is required.</w:t>
      </w:r>
    </w:p>
    <w:p>
      <w:pPr>
        <w:spacing w:after="50" w:before="50"/>
      </w:pPr>
      <w:r>
        <w:t xml:space="preserve"/>
      </w:r>
    </w:p>
    <w:p>
      <w:pPr>
        <w:pStyle w:val="ListParagraph"/>
        <w:numPr>
          <w:ilvl w:val="0"/>
          <w:numId w:val="2"/>
        </w:numPr>
        <w:spacing w:after="60" w:before="60"/>
      </w:pPr>
      <w:r>
        <w:rPr>
          <w:rFonts w:ascii="Arial" w:cs="Arial" w:eastAsia="Arial" w:hAnsi="Arial"/>
          <w:color w:val="555555"/>
          <w:sz w:val="22"/>
          <w:szCs w:val="22"/>
        </w:rPr>
        <w:t xml:space="preserve">Input sliders for all five features (studytime, failures, absences, G1, G2)</w:t>
      </w:r>
    </w:p>
    <w:p>
      <w:pPr>
        <w:pStyle w:val="ListParagraph"/>
        <w:numPr>
          <w:ilvl w:val="0"/>
          <w:numId w:val="2"/>
        </w:numPr>
        <w:spacing w:after="60" w:before="60"/>
      </w:pPr>
      <w:r>
        <w:rPr>
          <w:rFonts w:ascii="Arial" w:cs="Arial" w:eastAsia="Arial" w:hAnsi="Arial"/>
          <w:color w:val="555555"/>
          <w:sz w:val="22"/>
          <w:szCs w:val="22"/>
        </w:rPr>
        <w:t xml:space="preserve">Live pass probability display updated on each input change</w:t>
      </w:r>
    </w:p>
    <w:p>
      <w:pPr>
        <w:pStyle w:val="ListParagraph"/>
        <w:numPr>
          <w:ilvl w:val="0"/>
          <w:numId w:val="2"/>
        </w:numPr>
        <w:spacing w:after="60" w:before="60"/>
      </w:pPr>
      <w:r>
        <w:rPr>
          <w:rFonts w:ascii="Arial" w:cs="Arial" w:eastAsia="Arial" w:hAnsi="Arial"/>
          <w:color w:val="555555"/>
          <w:sz w:val="22"/>
          <w:szCs w:val="22"/>
        </w:rPr>
        <w:t xml:space="preserve">Uncertainty band visualisation showing the ± confidence range</w:t>
      </w:r>
    </w:p>
    <w:p>
      <w:pPr>
        <w:pStyle w:val="ListParagraph"/>
        <w:numPr>
          <w:ilvl w:val="0"/>
          <w:numId w:val="2"/>
        </w:numPr>
        <w:spacing w:after="60" w:before="60"/>
      </w:pPr>
      <w:r>
        <w:rPr>
          <w:rFonts w:ascii="Arial" w:cs="Arial" w:eastAsia="Arial" w:hAnsi="Arial"/>
          <w:color w:val="555555"/>
          <w:sz w:val="22"/>
          <w:szCs w:val="22"/>
        </w:rPr>
        <w:t xml:space="preserve">Colour-coded risk level indicator (green / amber / red)</w:t>
      </w:r>
    </w:p>
    <w:p>
      <w:pPr>
        <w:pStyle w:val="ListParagraph"/>
        <w:numPr>
          <w:ilvl w:val="0"/>
          <w:numId w:val="2"/>
        </w:numPr>
        <w:spacing w:after="60" w:before="60"/>
      </w:pPr>
      <w:r>
        <w:rPr>
          <w:rFonts w:ascii="Arial" w:cs="Arial" w:eastAsia="Arial" w:hAnsi="Arial"/>
          <w:color w:val="555555"/>
          <w:sz w:val="22"/>
          <w:szCs w:val="22"/>
        </w:rPr>
        <w:t xml:space="preserve">Horizontal bar chart of feature importances for the current prediction</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6. Significance &amp; Broader Context</w:t>
      </w:r>
    </w:p>
    <w:p>
      <w:pPr>
        <w:spacing w:after="80" w:before="80" w:line="320"/>
      </w:pPr>
      <w:r>
        <w:rPr>
          <w:rFonts w:ascii="Arial" w:cs="Arial" w:eastAsia="Arial" w:hAnsi="Arial"/>
          <w:b w:val="false"/>
          <w:bCs w:val="false"/>
          <w:color w:val="555555"/>
          <w:sz w:val="22"/>
          <w:szCs w:val="22"/>
        </w:rPr>
        <w:t xml:space="preserve">This project sits at the intersection of three active research and applied fields:</w:t>
      </w:r>
    </w:p>
    <w:p>
      <w:pPr>
        <w:spacing w:after="50" w:before="50"/>
      </w:pPr>
      <w:r>
        <w:t xml:space="preserve"/>
      </w:r>
    </w:p>
    <w:p>
      <w:pPr>
        <w:pStyle w:val="ListParagraph"/>
        <w:numPr>
          <w:ilvl w:val="0"/>
          <w:numId w:val="2"/>
        </w:numPr>
        <w:spacing w:after="60" w:before="60"/>
      </w:pPr>
      <w:r>
        <w:rPr>
          <w:rFonts w:ascii="Arial" w:cs="Arial" w:eastAsia="Arial" w:hAnsi="Arial"/>
          <w:b/>
          <w:bCs/>
          <w:color w:val="1A3A5C"/>
          <w:sz w:val="22"/>
          <w:szCs w:val="22"/>
        </w:rPr>
        <w:t xml:space="preserve">Uncertainty Quantification (UQ) — </w:t>
      </w:r>
      <w:r>
        <w:rPr>
          <w:rFonts w:ascii="Arial" w:cs="Arial" w:eastAsia="Arial" w:hAnsi="Arial"/>
          <w:color w:val="555555"/>
          <w:sz w:val="22"/>
          <w:szCs w:val="22"/>
        </w:rPr>
        <w:t xml:space="preserve">Uncertainty Quantification (UQ)</w:t>
      </w:r>
    </w:p>
    <w:p>
      <w:pPr>
        <w:pStyle w:val="ListParagraph"/>
        <w:numPr>
          <w:ilvl w:val="0"/>
          <w:numId w:val="2"/>
        </w:numPr>
        <w:spacing w:after="60" w:before="60"/>
      </w:pPr>
      <w:r>
        <w:rPr>
          <w:rFonts w:ascii="Arial" w:cs="Arial" w:eastAsia="Arial" w:hAnsi="Arial"/>
          <w:color w:val="555555"/>
          <w:sz w:val="22"/>
          <w:szCs w:val="22"/>
        </w:rPr>
        <w:t xml:space="preserve">rigorous measurement of how much confidence a model places in its own output, critical for high-stakes decision support.</w:t>
      </w:r>
    </w:p>
    <w:p>
      <w:pPr>
        <w:spacing w:after="50" w:before="50"/>
      </w:pPr>
      <w:r>
        <w:t xml:space="preserve"/>
      </w:r>
    </w:p>
    <w:p>
      <w:pPr>
        <w:pStyle w:val="ListParagraph"/>
        <w:numPr>
          <w:ilvl w:val="0"/>
          <w:numId w:val="2"/>
        </w:numPr>
        <w:spacing w:after="60" w:before="60"/>
      </w:pPr>
      <w:r>
        <w:rPr>
          <w:rFonts w:ascii="Arial" w:cs="Arial" w:eastAsia="Arial" w:hAnsi="Arial"/>
          <w:b/>
          <w:bCs/>
          <w:color w:val="1A3A5C"/>
          <w:sz w:val="22"/>
          <w:szCs w:val="22"/>
        </w:rPr>
        <w:t xml:space="preserve">Educational Data Analytics — </w:t>
      </w:r>
      <w:r>
        <w:rPr>
          <w:rFonts w:ascii="Arial" w:cs="Arial" w:eastAsia="Arial" w:hAnsi="Arial"/>
          <w:color w:val="555555"/>
          <w:sz w:val="22"/>
          <w:szCs w:val="22"/>
        </w:rPr>
        <w:t xml:space="preserve">Educational Data Analytics (EDA)</w:t>
      </w:r>
    </w:p>
    <w:p>
      <w:pPr>
        <w:pStyle w:val="ListParagraph"/>
        <w:numPr>
          <w:ilvl w:val="0"/>
          <w:numId w:val="2"/>
        </w:numPr>
        <w:spacing w:after="60" w:before="60"/>
      </w:pPr>
      <w:r>
        <w:rPr>
          <w:rFonts w:ascii="Arial" w:cs="Arial" w:eastAsia="Arial" w:hAnsi="Arial"/>
          <w:color w:val="555555"/>
          <w:sz w:val="22"/>
          <w:szCs w:val="22"/>
        </w:rPr>
        <w:t xml:space="preserve">the use of data-driven methods to understand and improve student learning outcomes at scale.</w:t>
      </w:r>
    </w:p>
    <w:p>
      <w:pPr>
        <w:spacing w:after="50" w:before="50"/>
      </w:pPr>
      <w:r>
        <w:t xml:space="preserve"/>
      </w:r>
    </w:p>
    <w:p>
      <w:pPr>
        <w:pStyle w:val="ListParagraph"/>
        <w:numPr>
          <w:ilvl w:val="0"/>
          <w:numId w:val="2"/>
        </w:numPr>
        <w:spacing w:after="60" w:before="60"/>
      </w:pPr>
      <w:r>
        <w:rPr>
          <w:rFonts w:ascii="Arial" w:cs="Arial" w:eastAsia="Arial" w:hAnsi="Arial"/>
          <w:b/>
          <w:bCs/>
          <w:color w:val="1A3A5C"/>
          <w:sz w:val="22"/>
          <w:szCs w:val="22"/>
        </w:rPr>
        <w:t xml:space="preserve">Explainable AI (XAI) — </w:t>
      </w:r>
      <w:r>
        <w:rPr>
          <w:rFonts w:ascii="Arial" w:cs="Arial" w:eastAsia="Arial" w:hAnsi="Arial"/>
          <w:color w:val="555555"/>
          <w:sz w:val="22"/>
          <w:szCs w:val="22"/>
        </w:rPr>
        <w:t xml:space="preserve">Explainable Artificial Intelligence (XAI)</w:t>
      </w:r>
    </w:p>
    <w:p>
      <w:pPr>
        <w:pStyle w:val="ListParagraph"/>
        <w:numPr>
          <w:ilvl w:val="0"/>
          <w:numId w:val="2"/>
        </w:numPr>
        <w:spacing w:after="60" w:before="60"/>
      </w:pPr>
      <w:r>
        <w:rPr>
          <w:rFonts w:ascii="Arial" w:cs="Arial" w:eastAsia="Arial" w:hAnsi="Arial"/>
          <w:color w:val="555555"/>
          <w:sz w:val="22"/>
          <w:szCs w:val="22"/>
        </w:rPr>
        <w:t xml:space="preserve">techniques that make model behaviour interpretable to human stakeholders, increasing trust and accountability.</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The combination of all three in a single deployable system is relatively uncommon in educational tooling, and represents a practical step toward responsible AI in academic settings.</w:t>
      </w:r>
    </w:p>
    <w:p>
      <w:pPr>
        <w:spacing w:after="150" w:before="150"/>
      </w:pPr>
      <w:r>
        <w:t xml:space="preserve"/>
      </w:r>
    </w:p>
    <w:p>
      <w:pPr>
        <w:pStyle w:val="Heading1"/>
        <w:pBdr>
          <w:bottom w:val="single" w:color="2E6DA4" w:sz="8" w:space="4"/>
        </w:pBdr>
        <w:spacing w:after="120" w:before="360"/>
      </w:pPr>
      <w:r>
        <w:rPr>
          <w:rFonts w:ascii="Arial" w:cs="Arial" w:eastAsia="Arial" w:hAnsi="Arial"/>
          <w:b/>
          <w:bCs/>
          <w:color w:val="1A3A5C"/>
          <w:sz w:val="32"/>
          <w:szCs w:val="32"/>
        </w:rPr>
        <w:t xml:space="preserve">7. Conclusion</w:t>
      </w:r>
    </w:p>
    <w:p>
      <w:pPr>
        <w:spacing w:after="80" w:before="80" w:line="320"/>
      </w:pPr>
      <w:r>
        <w:rPr>
          <w:rFonts w:ascii="Arial" w:cs="Arial" w:eastAsia="Arial" w:hAnsi="Arial"/>
          <w:b w:val="false"/>
          <w:bCs w:val="false"/>
          <w:color w:val="555555"/>
          <w:sz w:val="22"/>
          <w:szCs w:val="22"/>
        </w:rPr>
        <w:t xml:space="preserve">This project demonstrates that machine learning in education can go beyond simple pass/fail prediction. By quantifying uncertainty and surfacing feature-level explanations, the system moves from prediction to decision support.</w:t>
      </w:r>
    </w:p>
    <w:p>
      <w:pPr>
        <w:spacing w:after="50" w:before="50"/>
      </w:pPr>
      <w:r>
        <w:t xml:space="preserve"/>
      </w:r>
    </w:p>
    <w:p>
      <w:pPr>
        <w:spacing w:after="80" w:before="80" w:line="320"/>
      </w:pPr>
      <w:r>
        <w:rPr>
          <w:rFonts w:ascii="Arial" w:cs="Arial" w:eastAsia="Arial" w:hAnsi="Arial"/>
          <w:b w:val="false"/>
          <w:bCs w:val="false"/>
          <w:color w:val="555555"/>
          <w:sz w:val="22"/>
          <w:szCs w:val="22"/>
        </w:rPr>
        <w:t xml:space="preserve">The result is a tool that educators and students can trust not because it is always right, but because it is always transparent about when it might not be.</w:t>
      </w:r>
    </w:p>
    <w:p>
      <w:pPr>
        <w:spacing w:after="3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8F7" w:val="clear"/>
            <w:tcMar>
              <w:top w:type="dxa" w:w="120"/>
              <w:left w:type="dxa" w:w="240"/>
              <w:bottom w:type="dxa" w:w="120"/>
              <w:right w:type="dxa" w:w="240"/>
            </w:tcMar>
          </w:tcPr>
          <w:p>
            <w:pPr>
              <w:jc w:val="center"/>
            </w:pPr>
            <w:r>
              <w:rPr>
                <w:rFonts w:ascii="Arial" w:cs="Arial" w:eastAsia="Arial" w:hAnsi="Arial"/>
                <w:i/>
                <w:iCs/>
                <w:color w:val="2E6DA4"/>
                <w:sz w:val="18"/>
                <w:szCs w:val="18"/>
              </w:rPr>
              <w:t xml:space="preserve">Student Success Prediction with Uncertainty — Technical Documentation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4" w:space="4"/>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Student Success Prediction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il" w:color="FFFFFF" w:sz="0"/>
            <w:left w:val="nil" w:color="FFFFFF" w:sz="0"/>
            <w:bottom w:val="single" w:color="2E6DA4" w:sz="8"/>
            <w:right w:val="nil" w:color="FFFFFF" w:sz="0"/>
          </w:tcBorders>
          <w:tcMar>
            <w:top w:type="dxa" w:w="60"/>
            <w:left w:type="dxa" w:w="0"/>
            <w:bottom w:type="dxa" w:w="80"/>
            <w:right w:type="dxa" w:w="0"/>
          </w:tcMar>
        </w:tcPr>
        <w:p>
          <w:r>
            <w:rPr>
              <w:rFonts w:ascii="Arial" w:cs="Arial" w:eastAsia="Arial" w:hAnsi="Arial"/>
              <w:b/>
              <w:bCs/>
              <w:color w:val="1A3A5C"/>
              <w:sz w:val="18"/>
              <w:szCs w:val="18"/>
            </w:rPr>
            <w:t xml:space="preserve">Student Success Prediction with Uncertainty</w:t>
          </w:r>
        </w:p>
      </w:tc>
      <w:tc>
        <w:tcPr>
          <w:tcW w:type="dxa" w:w="3000"/>
          <w:tcBorders>
            <w:top w:val="nil" w:color="FFFFFF" w:sz="0"/>
            <w:left w:val="nil" w:color="FFFFFF" w:sz="0"/>
            <w:bottom w:val="single" w:color="2E6DA4" w:sz="8"/>
            <w:right w:val="nil" w:color="FFFFFF" w:sz="0"/>
          </w:tcBorders>
          <w:tcMar>
            <w:top w:type="dxa" w:w="60"/>
            <w:left w:type="dxa" w:w="0"/>
            <w:bottom w:type="dxa" w:w="80"/>
            <w:right w:type="dxa" w:w="0"/>
          </w:tcMar>
        </w:tcPr>
        <w:p>
          <w:pPr>
            <w:jc w:val="right"/>
          </w:pPr>
          <w:r>
            <w:rPr>
              <w:rFonts w:ascii="Arial" w:cs="Arial" w:eastAsia="Arial" w:hAnsi="Arial"/>
              <w:color w:val="4A90C4"/>
              <w:sz w:val="18"/>
              <w:szCs w:val="18"/>
            </w:rPr>
            <w:t xml:space="preserve">Technical Documentation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2026-04-05T20:06:45.960Z</dcterms:created>
  <dcterms:modified xsi:type="dcterms:W3CDTF">2026-04-05T20:06:45.961Z</dcterms:modified>
</cp:coreProperties>
</file>

<file path=docProps/custom.xml><?xml version="1.0" encoding="utf-8"?>
<Properties xmlns="http://schemas.openxmlformats.org/officeDocument/2006/custom-properties" xmlns:vt="http://schemas.openxmlformats.org/officeDocument/2006/docPropsVTypes"/>
</file>