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sz w:val="28"/>
          <w:szCs w:val="28"/>
        </w:rPr>
        <w:t xml:space="preserve">Lab 3 – Architecture Justification</w:t>
      </w:r>
    </w:p>
    <w:p>
      <w:pPr>
        <w:pBdr>
          <w:bottom w:val="single" w:color="000000" w:sz="6" w:space="2"/>
        </w:pBdr>
        <w:spacing w:after="60"/>
        <w:jc w:val="center"/>
      </w:pPr>
      <w:r>
        <w:rPr>
          <w:rFonts w:ascii="Arial" w:cs="Arial" w:eastAsia="Arial" w:hAnsi="Arial"/>
          <w:sz w:val="20"/>
          <w:szCs w:val="20"/>
        </w:rPr>
        <w:t xml:space="preserve">Scenario 50: Centralized Audit Trail Compliance Engine</w:t>
      </w:r>
    </w:p>
    <w:p>
      <w:pPr>
        <w:spacing w:after="30" w:before="110"/>
      </w:pPr>
      <w:r>
        <w:rPr>
          <w:rFonts w:ascii="Arial" w:cs="Arial" w:eastAsia="Arial" w:hAnsi="Arial"/>
          <w:b/>
          <w:bCs/>
          <w:sz w:val="22"/>
          <w:szCs w:val="22"/>
        </w:rPr>
        <w:t xml:space="preserve">1. Architecture Selection</w:t>
      </w:r>
    </w:p>
    <w:p>
      <w:pPr>
        <w:spacing w:after="50" w:line="252"/>
        <w:jc w:val="both"/>
      </w:pPr>
      <w:r>
        <w:rPr>
          <w:rFonts w:ascii="Arial" w:cs="Arial" w:eastAsia="Arial" w:hAnsi="Arial"/>
          <w:sz w:val="20"/>
          <w:szCs w:val="20"/>
        </w:rPr>
        <w:t xml:space="preserve">We chose </w:t>
      </w:r>
      <w:r>
        <w:rPr>
          <w:rFonts w:ascii="Arial" w:cs="Arial" w:eastAsia="Arial" w:hAnsi="Arial"/>
          <w:b/>
          <w:bCs/>
          <w:sz w:val="20"/>
          <w:szCs w:val="20"/>
        </w:rPr>
        <w:t xml:space="preserve">Layered Architecture</w:t>
      </w:r>
      <w:r>
        <w:rPr>
          <w:rFonts w:ascii="Arial" w:cs="Arial" w:eastAsia="Arial" w:hAnsi="Arial"/>
          <w:sz w:val="20"/>
          <w:szCs w:val="20"/>
        </w:rPr>
        <w:t xml:space="preserve"> for the </w:t>
      </w:r>
      <w:r>
        <w:rPr>
          <w:rFonts w:ascii="Arial" w:cs="Arial" w:eastAsia="Arial" w:hAnsi="Arial"/>
          <w:b/>
          <w:bCs/>
          <w:sz w:val="20"/>
          <w:szCs w:val="20"/>
        </w:rPr>
        <w:t xml:space="preserve">Centralized Audit Trail Compliance Engine</w:t>
      </w:r>
      <w:r>
        <w:rPr>
          <w:rFonts w:ascii="Arial" w:cs="Arial" w:eastAsia="Arial" w:hAnsi="Arial"/>
          <w:sz w:val="20"/>
          <w:szCs w:val="20"/>
        </w:rPr>
        <w:t xml:space="preserve">.</w:t>
      </w:r>
    </w:p>
    <w:p>
      <w:pPr>
        <w:spacing w:after="30" w:before="110"/>
      </w:pPr>
      <w:r>
        <w:rPr>
          <w:rFonts w:ascii="Arial" w:cs="Arial" w:eastAsia="Arial" w:hAnsi="Arial"/>
          <w:b/>
          <w:bCs/>
          <w:sz w:val="22"/>
          <w:szCs w:val="22"/>
        </w:rPr>
        <w:t xml:space="preserve">2. Architectural Choice</w:t>
      </w:r>
    </w:p>
    <w:p>
      <w:pPr>
        <w:spacing w:after="50" w:line="252"/>
        <w:jc w:val="both"/>
      </w:pPr>
      <w:r>
        <w:rPr>
          <w:rFonts w:ascii="Arial" w:cs="Arial" w:eastAsia="Arial" w:hAnsi="Arial"/>
          <w:sz w:val="20"/>
          <w:szCs w:val="20"/>
        </w:rPr>
        <w:t xml:space="preserve">The system is organised into a Presentation Layer (Audit Portal, Log Submission Gateway), a Business Layer (Access Control, Log Ingestion, PII Masking, Integrity Hash, Audit Query, Export Manager) and a Data Layer (Audit Record Repository, Immutable Export Repository). Microservices was rejected because the Lab 1 scope (FR-001 to FR-005, NFR-001, NFR-002) is one bounded system, and splitting it would add network calls on the query path (a risk for the 1-second target in NFR-001) and force consistency work between services when a record is masked, hashed and stored. Client-Server was rejected because it only describes a central server with clients and does not say how to separate ingestion, masking, hashing, querying and export inside that server, and a single central server is a single point of failure.</w:t>
      </w:r>
    </w:p>
    <w:p>
      <w:pPr>
        <w:spacing w:after="30" w:before="110"/>
      </w:pPr>
      <w:r>
        <w:rPr>
          <w:rFonts w:ascii="Arial" w:cs="Arial" w:eastAsia="Arial" w:hAnsi="Arial"/>
          <w:b/>
          <w:bCs/>
          <w:sz w:val="22"/>
          <w:szCs w:val="22"/>
        </w:rPr>
        <w:t xml:space="preserve">3. Reason 1 – The Lab 1 use cases map directly onto the layers</w:t>
      </w:r>
    </w:p>
    <w:p>
      <w:pPr>
        <w:spacing w:after="50" w:line="252"/>
        <w:jc w:val="both"/>
      </w:pPr>
      <w:r>
        <w:rPr>
          <w:rFonts w:ascii="Arial" w:cs="Arial" w:eastAsia="Arial" w:hAnsi="Arial"/>
          <w:sz w:val="20"/>
          <w:szCs w:val="20"/>
        </w:rPr>
        <w:t xml:space="preserve">Each Lab 1 use case becomes one business component: Ingest Audit Logs (Log Ingestion), Mask PII (PII Masking, the «include» of ingestion), Query Audit Records (Audit Query), Generate Audit Export UC-04 (Export Manager) and Verify Export Integrity (Integrity Hash, which recomputes the SHA-256 hash). The Compliance Officer and Security Auditor interact only with the Audit Portal, and enterprise applications only with the Log Submission Gateway, so user-facing access, business rules and storage stay separate.</w:t>
      </w:r>
    </w:p>
    <w:p>
      <w:pPr>
        <w:spacing w:after="30" w:before="110"/>
      </w:pPr>
      <w:r>
        <w:rPr>
          <w:rFonts w:ascii="Arial" w:cs="Arial" w:eastAsia="Arial" w:hAnsi="Arial"/>
          <w:b/>
          <w:bCs/>
          <w:sz w:val="22"/>
          <w:szCs w:val="22"/>
        </w:rPr>
        <w:t xml:space="preserve">4. Reason 2 – The required processing order is a top-down chain of calls</w:t>
      </w:r>
    </w:p>
    <w:p>
      <w:pPr>
        <w:spacing w:after="50" w:line="252"/>
        <w:jc w:val="both"/>
      </w:pPr>
      <w:r>
        <w:rPr>
          <w:rFonts w:ascii="Arial" w:cs="Arial" w:eastAsia="Arial" w:hAnsi="Arial"/>
          <w:sz w:val="20"/>
          <w:szCs w:val="20"/>
        </w:rPr>
        <w:t xml:space="preserve">FR-001 requires PII to be masked and a SHA-256 hash generated before a record is persisted, and UC-04 requires the export to be retrieved, hashed, associated with its hash and then stored as immutable. Both are ordered chains (Log Ingestion → PII Masking → Integrity Hash → Audit Record Repository; Export Manager → Audit Query → Integrity Hash → Immutable Export Repository). In a layered design each layer only calls the layer below it, so nothing can write to storage without passing through the business components.</w:t>
      </w:r>
    </w:p>
    <w:p>
      <w:pPr>
        <w:spacing w:after="30" w:before="110"/>
      </w:pPr>
      <w:r>
        <w:rPr>
          <w:rFonts w:ascii="Arial" w:cs="Arial" w:eastAsia="Arial" w:hAnsi="Arial"/>
          <w:b/>
          <w:bCs/>
          <w:sz w:val="22"/>
          <w:szCs w:val="22"/>
        </w:rPr>
        <w:t xml:space="preserve">5. Security Advantage</w:t>
      </w:r>
    </w:p>
    <w:p>
      <w:pPr>
        <w:spacing w:after="50" w:line="252"/>
        <w:jc w:val="both"/>
      </w:pPr>
      <w:r>
        <w:rPr>
          <w:rFonts w:ascii="Arial" w:cs="Arial" w:eastAsia="Arial" w:hAnsi="Arial"/>
          <w:sz w:val="20"/>
          <w:szCs w:val="20"/>
        </w:rPr>
        <w:t xml:space="preserve">Every request from a Compliance Officer or Security Auditor passes through the Audit Portal and the Access Control Component, which authenticates the user and checks the assigned role before query, export or verification is allowed (NFR-002). The Data Layer is not reachable from outside, so records and exports cannot be read directly. Because ingestion always goes through PII Masking, cleartext SSNs and credit card numbers are never written to the Audit Record Repository (FR-001). Exports carry a SHA-256 hash and are kept in a separate Immutable Export Repository, so any modification is detected when the hash is recomputed during verification (FR-004, FR-005).</w:t>
      </w:r>
    </w:p>
    <w:p>
      <w:pPr>
        <w:spacing w:after="30" w:before="110"/>
      </w:pPr>
      <w:r>
        <w:rPr>
          <w:rFonts w:ascii="Arial" w:cs="Arial" w:eastAsia="Arial" w:hAnsi="Arial"/>
          <w:b/>
          <w:bCs/>
          <w:sz w:val="22"/>
          <w:szCs w:val="22"/>
        </w:rPr>
        <w:t xml:space="preserve">6. Performance Benefit</w:t>
      </w:r>
    </w:p>
    <w:p>
      <w:pPr>
        <w:spacing w:after="50" w:line="252"/>
        <w:jc w:val="both"/>
      </w:pPr>
      <w:r>
        <w:rPr>
          <w:rFonts w:ascii="Arial" w:cs="Arial" w:eastAsia="Arial" w:hAnsi="Arial"/>
          <w:sz w:val="20"/>
          <w:szCs w:val="20"/>
        </w:rPr>
        <w:t xml:space="preserve">NFR-001 requires complex filtering across 10 million historical records in under 1 second. Masking and hashing are done once at ingestion, so they add no work at query time. A query takes a short path (Audit Portal → Access Control → Audit Query → Audit Record Repository) with no network hops between services, and the Data Layer can be tuned on its own, for example by indexing the audit attributes used for filtering, without changing the other layers. The 1-second target itself still has to be confirmed by the benchmark named in the NFR-001 acceptance criteria.</w:t>
      </w:r>
    </w:p>
    <w:sectPr>
      <w:pgSz w:w="11906" w:h="16838" w:orient="portrait"/>
      <w:pgMar w:top="850" w:right="1077" w:bottom="85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2026-09-28T03:19:57.924Z</dcterms:created>
  <dcterms:modified xsi:type="dcterms:W3CDTF">2026-09-28T03:19:57.933Z</dcterms:modified>
</cp:coreProperties>
</file>

<file path=docProps/custom.xml><?xml version="1.0" encoding="utf-8"?>
<Properties xmlns="http://schemas.openxmlformats.org/officeDocument/2006/custom-properties" xmlns:vt="http://schemas.openxmlformats.org/officeDocument/2006/docPropsVTypes"/>
</file>