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11DAAD42" w:rsidR="00F7593F" w:rsidRPr="002040DF" w:rsidRDefault="000E00E9" w:rsidP="00286D28">
            <w:pPr>
              <w:jc w:val="center"/>
              <w:rPr>
                <w:rFonts w:ascii="Times New Roman" w:hAnsi="Times New Roman" w:cs="Times New Roman"/>
                <w:b/>
                <w:bCs/>
                <w:sz w:val="28"/>
                <w:szCs w:val="28"/>
              </w:rPr>
            </w:pPr>
            <w:r w:rsidRPr="000E00E9">
              <w:rPr>
                <w:rFonts w:ascii="Times New Roman" w:hAnsi="Times New Roman" w:cs="Times New Roman"/>
                <w:b/>
                <w:bCs/>
                <w:sz w:val="28"/>
                <w:szCs w:val="28"/>
              </w:rPr>
              <w:t>AI-Driven Insider Threat Detection Through Behavioral Analytics and Attack Sequence Correlation</w:t>
            </w: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0CEE147E" w:rsidR="00286D28" w:rsidRPr="00286D28" w:rsidRDefault="002624E6" w:rsidP="00286D28">
            <w:pPr>
              <w:jc w:val="center"/>
              <w:rPr>
                <w:rFonts w:ascii="Times New Roman" w:hAnsi="Times New Roman" w:cs="Times New Roman"/>
                <w:sz w:val="24"/>
                <w:szCs w:val="24"/>
              </w:rPr>
            </w:pPr>
            <w:r>
              <w:rPr>
                <w:rFonts w:ascii="Times New Roman" w:hAnsi="Times New Roman" w:cs="Times New Roman"/>
                <w:sz w:val="24"/>
                <w:szCs w:val="24"/>
              </w:rPr>
              <w:t>2320030386</w:t>
            </w:r>
          </w:p>
        </w:tc>
        <w:tc>
          <w:tcPr>
            <w:tcW w:w="5528" w:type="dxa"/>
          </w:tcPr>
          <w:p w14:paraId="256A6E97" w14:textId="0F11FECB" w:rsidR="00286D28" w:rsidRPr="00286D28" w:rsidRDefault="002624E6" w:rsidP="00286D28">
            <w:pPr>
              <w:jc w:val="center"/>
              <w:rPr>
                <w:rFonts w:ascii="Times New Roman" w:hAnsi="Times New Roman" w:cs="Times New Roman"/>
                <w:sz w:val="24"/>
                <w:szCs w:val="24"/>
              </w:rPr>
            </w:pPr>
            <w:r>
              <w:rPr>
                <w:rFonts w:ascii="Times New Roman" w:hAnsi="Times New Roman" w:cs="Times New Roman"/>
                <w:sz w:val="24"/>
                <w:szCs w:val="24"/>
              </w:rPr>
              <w:t>K.</w:t>
            </w:r>
            <w:r w:rsidR="002040DF">
              <w:rPr>
                <w:rFonts w:ascii="Times New Roman" w:hAnsi="Times New Roman" w:cs="Times New Roman"/>
                <w:sz w:val="24"/>
                <w:szCs w:val="24"/>
              </w:rPr>
              <w:t xml:space="preserve"> </w:t>
            </w:r>
            <w:r>
              <w:rPr>
                <w:rFonts w:ascii="Times New Roman" w:hAnsi="Times New Roman" w:cs="Times New Roman"/>
                <w:sz w:val="24"/>
                <w:szCs w:val="24"/>
              </w:rPr>
              <w:t>Bindu Madhavi</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373D63D6" w:rsidR="00286D28" w:rsidRPr="00286D28" w:rsidRDefault="002624E6" w:rsidP="00286D28">
            <w:pPr>
              <w:jc w:val="center"/>
              <w:rPr>
                <w:rFonts w:ascii="Times New Roman" w:hAnsi="Times New Roman" w:cs="Times New Roman"/>
                <w:sz w:val="24"/>
                <w:szCs w:val="24"/>
              </w:rPr>
            </w:pPr>
            <w:r>
              <w:rPr>
                <w:rFonts w:ascii="Times New Roman" w:hAnsi="Times New Roman" w:cs="Times New Roman"/>
                <w:sz w:val="24"/>
                <w:szCs w:val="24"/>
              </w:rPr>
              <w:t>2320030393</w:t>
            </w:r>
          </w:p>
        </w:tc>
        <w:tc>
          <w:tcPr>
            <w:tcW w:w="5528" w:type="dxa"/>
          </w:tcPr>
          <w:p w14:paraId="11B1D292" w14:textId="6AA39E8B" w:rsidR="00286D28" w:rsidRPr="00286D28" w:rsidRDefault="002624E6" w:rsidP="002624E6">
            <w:pPr>
              <w:jc w:val="center"/>
              <w:rPr>
                <w:rFonts w:ascii="Times New Roman" w:hAnsi="Times New Roman" w:cs="Times New Roman"/>
                <w:sz w:val="24"/>
                <w:szCs w:val="24"/>
              </w:rPr>
            </w:pPr>
            <w:r>
              <w:rPr>
                <w:rFonts w:ascii="Times New Roman" w:hAnsi="Times New Roman" w:cs="Times New Roman"/>
                <w:sz w:val="24"/>
                <w:szCs w:val="24"/>
              </w:rPr>
              <w:t>V.</w:t>
            </w:r>
            <w:r w:rsidRPr="002624E6">
              <w:rPr>
                <w:rFonts w:ascii="Times New Roman" w:eastAsia="Times New Roman" w:hAnsi="Times New Roman" w:cs="Times New Roman"/>
                <w:kern w:val="0"/>
                <w:sz w:val="24"/>
                <w:szCs w:val="24"/>
                <w:lang w:eastAsia="en-IN"/>
                <w14:ligatures w14:val="none"/>
              </w:rPr>
              <w:t xml:space="preserve"> </w:t>
            </w:r>
            <w:r w:rsidRPr="002624E6">
              <w:rPr>
                <w:rFonts w:ascii="Times New Roman" w:hAnsi="Times New Roman" w:cs="Times New Roman"/>
                <w:sz w:val="24"/>
                <w:szCs w:val="24"/>
              </w:rPr>
              <w:t>Bhavish Reddy</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5D001029" w:rsidR="00286D28" w:rsidRPr="00286D28" w:rsidRDefault="002624E6" w:rsidP="00286D28">
            <w:pPr>
              <w:jc w:val="center"/>
              <w:rPr>
                <w:rFonts w:ascii="Times New Roman" w:hAnsi="Times New Roman" w:cs="Times New Roman"/>
                <w:sz w:val="24"/>
                <w:szCs w:val="24"/>
              </w:rPr>
            </w:pPr>
            <w:r>
              <w:rPr>
                <w:rFonts w:ascii="Times New Roman" w:hAnsi="Times New Roman" w:cs="Times New Roman"/>
                <w:sz w:val="24"/>
                <w:szCs w:val="24"/>
              </w:rPr>
              <w:t>2320030394</w:t>
            </w:r>
          </w:p>
        </w:tc>
        <w:tc>
          <w:tcPr>
            <w:tcW w:w="5528" w:type="dxa"/>
          </w:tcPr>
          <w:p w14:paraId="7B185CDD" w14:textId="40686D9D" w:rsidR="00286D28" w:rsidRPr="00286D28" w:rsidRDefault="002624E6" w:rsidP="002624E6">
            <w:pPr>
              <w:jc w:val="center"/>
              <w:rPr>
                <w:rFonts w:ascii="Times New Roman" w:hAnsi="Times New Roman" w:cs="Times New Roman"/>
                <w:sz w:val="24"/>
                <w:szCs w:val="24"/>
              </w:rPr>
            </w:pPr>
            <w:r w:rsidRPr="002624E6">
              <w:rPr>
                <w:rFonts w:ascii="Times New Roman" w:hAnsi="Times New Roman" w:cs="Times New Roman"/>
                <w:sz w:val="24"/>
                <w:szCs w:val="24"/>
              </w:rPr>
              <w:t>N.</w:t>
            </w:r>
            <w:r w:rsidR="002040DF">
              <w:rPr>
                <w:rFonts w:ascii="Times New Roman" w:hAnsi="Times New Roman" w:cs="Times New Roman"/>
                <w:sz w:val="24"/>
                <w:szCs w:val="24"/>
              </w:rPr>
              <w:t xml:space="preserve"> </w:t>
            </w:r>
            <w:r w:rsidRPr="002624E6">
              <w:rPr>
                <w:rFonts w:ascii="Times New Roman" w:hAnsi="Times New Roman" w:cs="Times New Roman"/>
                <w:sz w:val="24"/>
                <w:szCs w:val="24"/>
              </w:rPr>
              <w:t>Tidiksha</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7777777" w:rsidR="00F7593F" w:rsidRPr="00286D28" w:rsidRDefault="00F7593F" w:rsidP="00286D28">
            <w:pPr>
              <w:jc w:val="center"/>
              <w:rPr>
                <w:rFonts w:ascii="Times New Roman" w:hAnsi="Times New Roman" w:cs="Times New Roman"/>
                <w:sz w:val="24"/>
                <w:szCs w:val="24"/>
              </w:rPr>
            </w:pPr>
          </w:p>
        </w:tc>
        <w:tc>
          <w:tcPr>
            <w:tcW w:w="5528" w:type="dxa"/>
          </w:tcPr>
          <w:p w14:paraId="25D99CFB" w14:textId="77777777" w:rsidR="00F7593F" w:rsidRPr="00286D28" w:rsidRDefault="00F7593F" w:rsidP="00286D28">
            <w:pPr>
              <w:jc w:val="center"/>
              <w:rPr>
                <w:rFonts w:ascii="Times New Roman" w:hAnsi="Times New Roman" w:cs="Times New Roman"/>
                <w:sz w:val="24"/>
                <w:szCs w:val="24"/>
              </w:rPr>
            </w:pP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470C03C0" w:rsidR="00295A23" w:rsidRPr="00286D28" w:rsidRDefault="002624E6" w:rsidP="002624E6">
            <w:pPr>
              <w:jc w:val="center"/>
              <w:rPr>
                <w:rFonts w:ascii="Times New Roman" w:hAnsi="Times New Roman" w:cs="Times New Roman"/>
                <w:sz w:val="24"/>
                <w:szCs w:val="24"/>
              </w:rPr>
            </w:pPr>
            <w:r w:rsidRPr="002624E6">
              <w:rPr>
                <w:rFonts w:ascii="Times New Roman" w:hAnsi="Times New Roman" w:cs="Times New Roman"/>
                <w:sz w:val="24"/>
                <w:szCs w:val="24"/>
              </w:rPr>
              <w:t>Dr. K Swapnika</w:t>
            </w:r>
          </w:p>
        </w:tc>
      </w:tr>
    </w:tbl>
    <w:p w14:paraId="13A8EB64" w14:textId="23DF8E70" w:rsidR="00286D28" w:rsidRPr="00F7593F" w:rsidRDefault="00286D28" w:rsidP="00295D53">
      <w:pPr>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0632783F" w14:textId="0CAE7F9C" w:rsidR="000E00E9" w:rsidRDefault="000E00E9" w:rsidP="00295D53">
      <w:pPr>
        <w:spacing w:line="240" w:lineRule="auto"/>
        <w:rPr>
          <w:rFonts w:ascii="Times New Roman" w:hAnsi="Times New Roman" w:cs="Times New Roman"/>
          <w:sz w:val="28"/>
          <w:szCs w:val="28"/>
        </w:rPr>
      </w:pPr>
      <w:r w:rsidRPr="00295D53">
        <w:rPr>
          <w:rFonts w:ascii="Times New Roman" w:hAnsi="Times New Roman" w:cs="Times New Roman"/>
          <w:sz w:val="28"/>
          <w:szCs w:val="28"/>
        </w:rPr>
        <w:t>Insider threats have become a significant cybersecurity concern because authorized users can misuse legitimate access to confidential information and critical organizational resources. Traditional insider-threat detection systems primarily focus on individual abnormal behaviors, such as unusual login patterns, excessive file access, or abnormal download activity. However, these approaches often fail to correlate multiple related activities and determine whether a sequence of seemingly legitimate actions represents a potential insider attack. This project proposes an AI-Driven Insider Threat Detection system using Behavioral Analytics and Attack Sequence Correlation to address this limitation. The system analyzes user activity logs, including authentication, file access, downloads, uploads, and resource usage, to establish normal behavioral profiles and identify deviations using machine learning techniques. A behavioral correlation module then analyzes the temporal relationship between suspicious activities and reconstructs potential attack sequences. The system also considers the sensitivity of accessed resources to assess the potential impact of the activity. These factors are combined to generate a dynamic risk score for each detected incident. An explainable analysis component provides the evidence behind each alert, allowing security analysts to understand why an activity was considered suspicious. A centralized dashboard presents user behavior, detected anomalies, attack sequences, affected resources, risk scores, and security alerts. The proposed approach therefore moves beyond simple anomaly detection by correlating user activities and their security impact to provide more meaningful and actionable insider-threat detection.</w:t>
      </w:r>
    </w:p>
    <w:p w14:paraId="6BD77152" w14:textId="77777777" w:rsidR="00295D53" w:rsidRDefault="00295D53" w:rsidP="00295D53">
      <w:pPr>
        <w:spacing w:line="240" w:lineRule="auto"/>
        <w:rPr>
          <w:rFonts w:ascii="Times New Roman" w:hAnsi="Times New Roman" w:cs="Times New Roman"/>
          <w:sz w:val="28"/>
          <w:szCs w:val="28"/>
        </w:rPr>
      </w:pPr>
    </w:p>
    <w:p w14:paraId="183F62B9" w14:textId="77777777" w:rsidR="00295D53" w:rsidRPr="00295D53" w:rsidRDefault="00295D53" w:rsidP="00295D53">
      <w:pPr>
        <w:spacing w:line="240" w:lineRule="auto"/>
        <w:rPr>
          <w:rFonts w:ascii="Times New Roman" w:hAnsi="Times New Roman" w:cs="Times New Roman"/>
          <w:sz w:val="28"/>
          <w:szCs w:val="28"/>
        </w:rPr>
      </w:pPr>
    </w:p>
    <w:p w14:paraId="5848A4C5" w14:textId="00F0EFD6" w:rsidR="00F7593F" w:rsidRPr="00295D53" w:rsidRDefault="00F7593F" w:rsidP="00A03BF4">
      <w:pPr>
        <w:rPr>
          <w:rFonts w:ascii="Times New Roman" w:hAnsi="Times New Roman" w:cs="Times New Roman"/>
          <w:sz w:val="28"/>
          <w:szCs w:val="28"/>
        </w:rPr>
      </w:pPr>
      <w:r w:rsidRPr="00295D53">
        <w:rPr>
          <w:rFonts w:ascii="Times New Roman" w:hAnsi="Times New Roman" w:cs="Times New Roman"/>
          <w:sz w:val="28"/>
          <w:szCs w:val="28"/>
        </w:rPr>
        <w:t>Signature of the Guide</w:t>
      </w:r>
      <w:r w:rsidRPr="00295D53">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295D53">
        <w:rPr>
          <w:rFonts w:ascii="Times New Roman" w:hAnsi="Times New Roman" w:cs="Times New Roman"/>
          <w:sz w:val="28"/>
          <w:szCs w:val="28"/>
        </w:rPr>
        <w:t>HOD</w:t>
      </w:r>
    </w:p>
    <w:sectPr w:rsidR="00F7593F" w:rsidRPr="00295D53"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0E00E9"/>
    <w:rsid w:val="001875D6"/>
    <w:rsid w:val="001A07B1"/>
    <w:rsid w:val="002040DF"/>
    <w:rsid w:val="002624E6"/>
    <w:rsid w:val="00286D28"/>
    <w:rsid w:val="00295A23"/>
    <w:rsid w:val="00295D53"/>
    <w:rsid w:val="003930F3"/>
    <w:rsid w:val="005C2430"/>
    <w:rsid w:val="00684A63"/>
    <w:rsid w:val="006C6917"/>
    <w:rsid w:val="008D283B"/>
    <w:rsid w:val="00A03BF4"/>
    <w:rsid w:val="00AB6E3E"/>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E00E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334</Words>
  <Characters>1904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Ketha Purna</cp:lastModifiedBy>
  <cp:revision>4</cp:revision>
  <dcterms:created xsi:type="dcterms:W3CDTF">2026-08-05T13:14:00Z</dcterms:created>
  <dcterms:modified xsi:type="dcterms:W3CDTF">2026-08-17T11:34:00Z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