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C2B33"/>
          <w:sz w:val="40"/>
          <w:szCs w:val="40"/>
        </w:rPr>
        <w:t xml:space="preserve">T-TESS–ALIGNED LESSON PLAN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565F"/>
          <w:sz w:val="19"/>
          <w:szCs w:val="19"/>
        </w:rPr>
        <w:t xml:space="preserve">Nine elements appraisers look for, mapped to the rubric dimension each one serves.</w:t>
      </w:r>
    </w:p>
    <w:p>
      <w:pPr>
        <w:pBdr>
          <w:bottom w:val="single" w:color="1C2B33" w:sz="8"/>
        </w:pBdr>
        <w:spacing w:after="160"/>
      </w:pPr>
      <w:r>
        <w:rPr>
          <w:rFonts w:ascii="Calibri" w:cs="Calibri" w:eastAsia="Calibri" w:hAnsi="Calibri"/>
          <w:b/>
          <w:bCs/>
          <w:color w:val="2C4B7C"/>
          <w:sz w:val="17"/>
          <w:szCs w:val="17"/>
        </w:rPr>
        <w:t xml:space="preserve">Domain 1 · Planning</w:t>
      </w:r>
      <w:r>
        <w:rPr>
          <w:rFonts w:ascii="Calibri" w:cs="Calibri" w:eastAsia="Calibri" w:hAnsi="Calibri"/>
          <w:color w:val="1C2B33"/>
          <w:sz w:val="20"/>
          <w:szCs w:val="20"/>
        </w:rPr>
        <w:t xml:space="preserve">     </w:t>
      </w:r>
      <w:r>
        <w:rPr>
          <w:rFonts w:ascii="Calibri" w:cs="Calibri" w:eastAsia="Calibri" w:hAnsi="Calibri"/>
          <w:b/>
          <w:bCs/>
          <w:color w:val="8E4A7E"/>
          <w:sz w:val="17"/>
          <w:szCs w:val="17"/>
        </w:rPr>
        <w:t xml:space="preserve">Domain 2 · Instruction</w:t>
      </w:r>
      <w:r>
        <w:rPr>
          <w:rFonts w:ascii="Calibri" w:cs="Calibri" w:eastAsia="Calibri" w:hAnsi="Calibri"/>
          <w:color w:val="1C2B33"/>
          <w:sz w:val="20"/>
          <w:szCs w:val="20"/>
        </w:rPr>
        <w:t xml:space="preserve">     </w:t>
      </w:r>
      <w:r>
        <w:rPr>
          <w:rFonts w:ascii="Calibri" w:cs="Calibri" w:eastAsia="Calibri" w:hAnsi="Calibri"/>
          <w:b/>
          <w:bCs/>
          <w:color w:val="2E8B8B"/>
          <w:sz w:val="17"/>
          <w:szCs w:val="17"/>
        </w:rPr>
        <w:t xml:space="preserve">Domain 3 · Learning Environment</w:t>
      </w:r>
      <w:r>
        <w:rPr>
          <w:rFonts w:ascii="Calibri" w:cs="Calibri" w:eastAsia="Calibri" w:hAnsi="Calibri"/>
          <w:color w:val="1C2B33"/>
          <w:sz w:val="20"/>
          <w:szCs w:val="20"/>
        </w:rPr>
        <w:t xml:space="preserve">     </w:t>
      </w:r>
      <w:r>
        <w:rPr>
          <w:rFonts w:ascii="Calibri" w:cs="Calibri" w:eastAsia="Calibri" w:hAnsi="Calibri"/>
          <w:b/>
          <w:bCs/>
          <w:color w:val="C96A2E"/>
          <w:sz w:val="17"/>
          <w:szCs w:val="17"/>
        </w:rPr>
        <w:t xml:space="preserve">Domain 4 · Professional Practices</w:t>
      </w:r>
    </w:p>
    <w:tbl>
      <w:tblPr>
        <w:tblW w:type="dxa" w:w="10466"/>
        <w:tblBorders>
          <w:top w:val="single" w:color="D9DEDC" w:sz="4"/>
          <w:left w:val="single" w:color="D9DEDC" w:sz="4"/>
          <w:bottom w:val="single" w:color="D9DEDC" w:sz="4"/>
          <w:right w:val="single" w:color="D9DEDC" w:sz="4"/>
          <w:insideH w:val="single" w:color="D9DEDC" w:sz="4"/>
          <w:insideV w:val="single" w:color="D9DEDC" w:sz="4"/>
        </w:tblBorders>
      </w:tblPr>
      <w:tblGrid>
        <w:gridCol w:w="2617"/>
        <w:gridCol w:w="2617"/>
        <w:gridCol w:w="2616"/>
        <w:gridCol w:w="2616"/>
      </w:tblGrid>
      <w:tr>
        <w:tc>
          <w:tcPr>
            <w:tcW w:type="dxa" w:w="2616"/>
            <w:tcMar>
              <w:top w:type="dxa" w:w="6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1807B"/>
                <w:sz w:val="14"/>
                <w:szCs w:val="14"/>
              </w:rPr>
              <w:t xml:space="preserve">TEACHER</w:t>
            </w:r>
          </w:p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  <w:tc>
          <w:tcPr>
            <w:tcW w:type="dxa" w:w="2616"/>
            <w:tcMar>
              <w:top w:type="dxa" w:w="6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1807B"/>
                <w:sz w:val="14"/>
                <w:szCs w:val="14"/>
              </w:rPr>
              <w:t xml:space="preserve">COURSE / PERIOD</w:t>
            </w:r>
          </w:p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  <w:tc>
          <w:tcPr>
            <w:tcW w:type="dxa" w:w="2616"/>
            <w:tcMar>
              <w:top w:type="dxa" w:w="6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1807B"/>
                <w:sz w:val="14"/>
                <w:szCs w:val="14"/>
              </w:rPr>
              <w:t xml:space="preserve">UNIT</w:t>
            </w:r>
          </w:p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  <w:tc>
          <w:tcPr>
            <w:tcW w:type="dxa" w:w="2616"/>
            <w:tcMar>
              <w:top w:type="dxa" w:w="6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1807B"/>
                <w:sz w:val="14"/>
                <w:szCs w:val="14"/>
              </w:rPr>
              <w:t xml:space="preserve">DATE</w:t>
            </w:r>
          </w:p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C2B33"/>
          <w:sz w:val="2"/>
          <w:szCs w:val="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9266"/>
      </w:tblGrid>
      <w:tr>
        <w:tc>
          <w:tcPr>
            <w:tcW w:type="dxa" w:w="1200"/>
            <w:shd w:fill="2C4B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266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3"/>
                <w:sz w:val="22"/>
                <w:szCs w:val="22"/>
              </w:rPr>
              <w:t xml:space="preserve">Measurable, standards-coded objective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   Dimension 1.1 — the most-checked item on the page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D9DEDC" w:sz="1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C2B33"/>
                <w:sz w:val="20"/>
                <w:szCs w:val="20"/>
              </w:rPr>
              <w:t xml:space="preserve">TEKS code(s): </w:t>
            </w:r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>__________________    </w:t>
            </w:r>
            <w:r>
              <w:rPr>
                <w:rFonts w:ascii="Calibri" w:cs="Calibri" w:eastAsia="Calibri" w:hAnsi="Calibri"/>
                <w:b/>
                <w:bCs/>
                <w:color w:val="1C2B33"/>
                <w:sz w:val="20"/>
                <w:szCs w:val="20"/>
              </w:rPr>
              <w:t xml:space="preserve">Students will be able to… 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(verb + content + measurable bar, e.g., “calculate net force with 80% accuracy”)</w:t>
            </w:r>
          </w:p>
          <w:p>
            <w:pPr>
              <w:shd w:fill="F5F7F6" w:val="clear"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65F"/>
                <w:sz w:val="16"/>
                <w:szCs w:val="16"/>
              </w:rPr>
              <w:t xml:space="preserve">  Distinguished looks like: </w:t>
            </w:r>
            <w:r>
              <w:rPr>
                <w:rFonts w:ascii="Calibri" w:cs="Calibri" w:eastAsia="Calibri" w:hAnsi="Calibri"/>
                <w:i/>
                <w:iCs/>
                <w:color w:val="44565F"/>
                <w:sz w:val="16"/>
                <w:szCs w:val="16"/>
              </w:rPr>
              <w:t xml:space="preserve">rigorous AND measurable, vertically aligned, with a real-world application named.  </w:t>
            </w:r>
          </w:p>
          <w:p>
            <w:pPr>
              <w:pBdr>
                <w:bottom w:val="single" w:color="AEB8B4" w:sz="4"/>
              </w:pBdr>
              <w:spacing w:after="17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EB8B4" w:sz="4"/>
              </w:pBdr>
              <w:spacing w:after="4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C2B33"/>
          <w:sz w:val="2"/>
          <w:szCs w:val="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9266"/>
      </w:tblGrid>
      <w:tr>
        <w:tc>
          <w:tcPr>
            <w:tcW w:type="dxa" w:w="1200"/>
            <w:shd w:fill="2C4B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266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3"/>
                <w:sz w:val="22"/>
                <w:szCs w:val="22"/>
              </w:rPr>
              <w:t xml:space="preserve">Lesson sequence with minutes — closure protected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   Dimension 1.1</w:t>
            </w:r>
          </w:p>
        </w:tc>
      </w:tr>
    </w:tbl>
    <w:tbl>
      <w:tblPr>
        <w:tblW w:type="dxa" w:w="10466"/>
        <w:tblBorders>
          <w:top w:val="single" w:color="D9DEDC" w:sz="4"/>
          <w:left w:val="single" w:color="D9DEDC" w:sz="4"/>
          <w:bottom w:val="single" w:color="D9DEDC" w:sz="4"/>
          <w:right w:val="single" w:color="D9DEDC" w:sz="4"/>
          <w:insideH w:val="single" w:color="D9DEDC" w:sz="4"/>
          <w:insideV w:val="single" w:color="D9DEDC" w:sz="4"/>
        </w:tblBorders>
      </w:tblPr>
      <w:tblGrid>
        <w:gridCol w:w="1100"/>
        <w:gridCol w:w="6250"/>
        <w:gridCol w:w="3116"/>
      </w:tblGrid>
      <w:tr>
        <w:tc>
          <w:tcPr>
            <w:tcW w:type="dxa" w:w="1100"/>
            <w:shd w:fill="EDF0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65F"/>
                <w:sz w:val="14"/>
                <w:szCs w:val="14"/>
              </w:rPr>
              <w:t xml:space="preserve">MIN</w:t>
            </w:r>
          </w:p>
        </w:tc>
        <w:tc>
          <w:tcPr>
            <w:tcW w:type="dxa" w:w="6250"/>
            <w:shd w:fill="EDF0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65F"/>
                <w:sz w:val="14"/>
                <w:szCs w:val="14"/>
              </w:rPr>
              <w:t xml:space="preserve">SEGMENT &amp; WHAT STUDENTS ARE DOING</w:t>
            </w:r>
          </w:p>
        </w:tc>
        <w:tc>
          <w:tcPr>
            <w:tcW w:type="dxa" w:w="3116"/>
            <w:shd w:fill="EDF0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65F"/>
                <w:sz w:val="14"/>
                <w:szCs w:val="14"/>
              </w:rPr>
              <w:t xml:space="preserve">HOW IT SERVES THE OBJECTIVE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  <w:tc>
          <w:tcPr>
            <w:tcW w:type="dxa" w:w="6250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65F"/>
                <w:sz w:val="17"/>
                <w:szCs w:val="17"/>
              </w:rPr>
              <w:t xml:space="preserve">Warm-up / bridge</w:t>
            </w:r>
          </w:p>
          <w:p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  <w:tc>
          <w:tcPr>
            <w:tcW w:type="dxa" w:w="6250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65F"/>
                <w:sz w:val="17"/>
                <w:szCs w:val="17"/>
              </w:rPr>
              <w:t xml:space="preserve">Direct instruction / model</w:t>
            </w:r>
          </w:p>
          <w:p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  <w:tc>
          <w:tcPr>
            <w:tcW w:type="dxa" w:w="6250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65F"/>
                <w:sz w:val="17"/>
                <w:szCs w:val="17"/>
              </w:rPr>
              <w:t xml:space="preserve">Guided &amp; independent practice</w:t>
            </w:r>
          </w:p>
          <w:p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  <w:tc>
          <w:tcPr>
            <w:tcW w:type="dxa" w:w="6250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65F"/>
                <w:sz w:val="17"/>
                <w:szCs w:val="17"/>
              </w:rPr>
              <w:t xml:space="preserve">Student reflection</w:t>
            </w:r>
          </w:p>
          <w:p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  <w:tc>
          <w:tcPr>
            <w:tcW w:type="dxa" w:w="6250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65F"/>
                <w:sz w:val="17"/>
                <w:szCs w:val="17"/>
              </w:rPr>
              <w:t xml:space="preserve">Closure — return to the objective</w:t>
            </w:r>
          </w:p>
          <w:p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C2B33"/>
          <w:sz w:val="2"/>
          <w:szCs w:val="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9266"/>
      </w:tblGrid>
      <w:tr>
        <w:tc>
          <w:tcPr>
            <w:tcW w:type="dxa" w:w="1200"/>
            <w:shd w:fill="2C4B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266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3"/>
                <w:sz w:val="22"/>
                <w:szCs w:val="22"/>
              </w:rPr>
              <w:t xml:space="preserve">Prior-knowledge bridge &amp; real-world hook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   Dimension 1.3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D9DEDC" w:sz="1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C2B33"/>
                <w:sz w:val="20"/>
                <w:szCs w:val="20"/>
              </w:rPr>
              <w:t xml:space="preserve">This builds on: 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(what students already know / last lesson)   </w:t>
            </w:r>
            <w:r>
              <w:rPr>
                <w:rFonts w:ascii="Calibri" w:cs="Calibri" w:eastAsia="Calibri" w:hAnsi="Calibri"/>
                <w:b/>
                <w:bCs/>
                <w:color w:val="1C2B33"/>
                <w:sz w:val="20"/>
                <w:szCs w:val="20"/>
              </w:rPr>
              <w:t xml:space="preserve">It matters in their world because: </w:t>
            </w:r>
          </w:p>
          <w:p>
            <w:pPr>
              <w:shd w:fill="F5F7F6" w:val="clear"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65F"/>
                <w:sz w:val="16"/>
                <w:szCs w:val="16"/>
              </w:rPr>
              <w:t xml:space="preserve">  Distinguished looks like: </w:t>
            </w:r>
            <w:r>
              <w:rPr>
                <w:rFonts w:ascii="Calibri" w:cs="Calibri" w:eastAsia="Calibri" w:hAnsi="Calibri"/>
                <w:i/>
                <w:iCs/>
                <w:color w:val="44565F"/>
                <w:sz w:val="16"/>
                <w:szCs w:val="16"/>
              </w:rPr>
              <w:t xml:space="preserve">connects to interests and to other content areas, not just prior lessons.  </w:t>
            </w:r>
          </w:p>
          <w:p>
            <w:pPr>
              <w:pBdr>
                <w:bottom w:val="single" w:color="AEB8B4" w:sz="4"/>
              </w:pBdr>
              <w:spacing w:after="17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EB8B4" w:sz="4"/>
              </w:pBdr>
              <w:spacing w:after="4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C2B33"/>
          <w:sz w:val="2"/>
          <w:szCs w:val="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9266"/>
      </w:tblGrid>
      <w:tr>
        <w:tc>
          <w:tcPr>
            <w:tcW w:type="dxa" w:w="1200"/>
            <w:shd w:fill="2C4B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266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3"/>
                <w:sz w:val="22"/>
                <w:szCs w:val="22"/>
              </w:rPr>
              <w:t xml:space="preserve">Check for understanding — with a decision point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   Dimensions 1.2 &amp; 2.5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D9DEDC" w:sz="1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C2B33"/>
                <w:sz w:val="20"/>
                <w:szCs w:val="20"/>
              </w:rPr>
              <w:t xml:space="preserve">The check: 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(exit ticket, whiteboards, poll…)   </w:t>
            </w:r>
            <w:r>
              <w:rPr>
                <w:rFonts w:ascii="Calibri" w:cs="Calibri" w:eastAsia="Calibri" w:hAnsi="Calibri"/>
                <w:b/>
                <w:bCs/>
                <w:color w:val="1C2B33"/>
                <w:sz w:val="20"/>
                <w:szCs w:val="20"/>
              </w:rPr>
              <w:t xml:space="preserve">My decision rule: 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if fewer than ____ % show mastery, tomorrow I will…</w:t>
            </w:r>
          </w:p>
          <w:p>
            <w:pPr>
              <w:shd w:fill="F5F7F6" w:val="clear"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65F"/>
                <w:sz w:val="16"/>
                <w:szCs w:val="16"/>
              </w:rPr>
              <w:t xml:space="preserve">  Distinguished looks like: </w:t>
            </w:r>
            <w:r>
              <w:rPr>
                <w:rFonts w:ascii="Calibri" w:cs="Calibri" w:eastAsia="Calibri" w:hAnsi="Calibri"/>
                <w:i/>
                <w:iCs/>
                <w:color w:val="44565F"/>
                <w:sz w:val="16"/>
                <w:szCs w:val="16"/>
              </w:rPr>
              <w:t xml:space="preserve">students see their own data — they self-assess and track their own progress.  </w:t>
            </w:r>
          </w:p>
          <w:p>
            <w:pPr>
              <w:pBdr>
                <w:bottom w:val="single" w:color="AEB8B4" w:sz="4"/>
              </w:pBdr>
              <w:spacing w:after="17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EB8B4" w:sz="4"/>
              </w:pBdr>
              <w:spacing w:after="4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C2B33"/>
          <w:sz w:val="2"/>
          <w:szCs w:val="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9266"/>
      </w:tblGrid>
      <w:tr>
        <w:tc>
          <w:tcPr>
            <w:tcW w:type="dxa" w:w="1200"/>
            <w:shd w:fill="2C4B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266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3"/>
                <w:sz w:val="22"/>
                <w:szCs w:val="22"/>
              </w:rPr>
              <w:t xml:space="preserve">Differentiation &amp; instructional groups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   Dimensions 1.3, 1.4 &amp; 2.4</w:t>
            </w:r>
          </w:p>
        </w:tc>
      </w:tr>
    </w:tbl>
    <w:tbl>
      <w:tblPr>
        <w:tblW w:type="dxa" w:w="10466"/>
        <w:tblBorders>
          <w:top w:val="single" w:color="D9DEDC" w:sz="4"/>
          <w:left w:val="single" w:color="D9DEDC" w:sz="4"/>
          <w:bottom w:val="single" w:color="D9DEDC" w:sz="4"/>
          <w:right w:val="single" w:color="D9DEDC" w:sz="4"/>
          <w:insideH w:val="single" w:color="D9DEDC" w:sz="4"/>
          <w:insideV w:val="single" w:color="D9DEDC" w:sz="4"/>
        </w:tblBorders>
      </w:tblPr>
      <w:tblGrid>
        <w:gridCol w:w="3489"/>
        <w:gridCol w:w="3489"/>
        <w:gridCol w:w="3488"/>
      </w:tblGrid>
      <w:tr>
        <w:tc>
          <w:tcPr>
            <w:tcW w:type="dxa" w:w="3488"/>
            <w:shd w:fill="EDF0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65F"/>
                <w:sz w:val="14"/>
                <w:szCs w:val="14"/>
              </w:rPr>
              <w:t xml:space="preserve">STILL DEVELOPING THE SKILL</w:t>
            </w:r>
          </w:p>
        </w:tc>
        <w:tc>
          <w:tcPr>
            <w:tcW w:type="dxa" w:w="3488"/>
            <w:shd w:fill="EDF0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65F"/>
                <w:sz w:val="14"/>
                <w:szCs w:val="14"/>
              </w:rPr>
              <w:t xml:space="preserve">ON TARGET</w:t>
            </w:r>
          </w:p>
        </w:tc>
        <w:tc>
          <w:tcPr>
            <w:tcW w:type="dxa" w:w="3488"/>
            <w:shd w:fill="EDF0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65F"/>
                <w:sz w:val="14"/>
                <w:szCs w:val="14"/>
              </w:rPr>
              <w:t xml:space="preserve">READY FOR EXTENSION</w:t>
            </w:r>
          </w:p>
        </w:tc>
      </w:tr>
      <w:tr>
        <w:tc>
          <w:tcPr>
            <w:tcW w:type="dxa" w:w="3488"/>
            <w:tcMar>
              <w:top w:type="dxa" w:w="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  <w:tc>
          <w:tcPr>
            <w:tcW w:type="dxa" w:w="3488"/>
            <w:tcMar>
              <w:top w:type="dxa" w:w="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  <w:tc>
          <w:tcPr>
            <w:tcW w:type="dxa" w:w="3488"/>
            <w:tcMar>
              <w:top w:type="dxa" w:w="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1C2B33"/>
          <w:sz w:val="19"/>
          <w:szCs w:val="19"/>
        </w:rPr>
        <w:t xml:space="preserve">Groups formed by: </w:t>
      </w:r>
      <w:r>
        <w:rPr>
          <w:rFonts w:ascii="Calibri" w:cs="Calibri" w:eastAsia="Calibri" w:hAnsi="Calibri"/>
          <w:color w:val="1C2B33"/>
          <w:sz w:val="19"/>
          <w:szCs w:val="19"/>
        </w:rPr>
        <w:t xml:space="preserve">(what data)  ______________________________    </w:t>
      </w:r>
      <w:r>
        <w:rPr>
          <w:rFonts w:ascii="Calibri" w:cs="Calibri" w:eastAsia="Calibri" w:hAnsi="Calibri"/>
          <w:b/>
          <w:bCs/>
          <w:color w:val="1C2B33"/>
          <w:sz w:val="19"/>
          <w:szCs w:val="19"/>
        </w:rPr>
        <w:t xml:space="preserve">Roles students hold: </w:t>
      </w:r>
      <w:r>
        <w:rPr>
          <w:rFonts w:ascii="Calibri" w:cs="Calibri" w:eastAsia="Calibri" w:hAnsi="Calibri"/>
          <w:color w:val="1C2B33"/>
          <w:sz w:val="19"/>
          <w:szCs w:val="19"/>
        </w:rPr>
        <w:t xml:space="preserve">______________________________</w:t>
      </w:r>
    </w:p>
    <w:p>
      <w:pPr>
        <w:spacing w:after="120"/>
      </w:pPr>
      <w:r>
        <w:rPr>
          <w:rFonts w:ascii="Calibri" w:cs="Calibri" w:eastAsia="Calibri" w:hAnsi="Calibri"/>
          <w:color w:val="1C2B33"/>
          <w:sz w:val="2"/>
          <w:szCs w:val="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9266"/>
      </w:tblGrid>
      <w:tr>
        <w:tc>
          <w:tcPr>
            <w:tcW w:type="dxa" w:w="1200"/>
            <w:shd w:fill="2C4B7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266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3"/>
                <w:sz w:val="22"/>
                <w:szCs w:val="22"/>
              </w:rPr>
              <w:t xml:space="preserve">Higher-order questions — scripted in advance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   Dimensions 1.4 &amp; 2.3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D9DEDC" w:sz="1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C2B33"/>
                <w:sz w:val="20"/>
                <w:szCs w:val="20"/>
              </w:rPr>
              <w:t xml:space="preserve">Two or three at the analysis / evaluate / create level. 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Under pressure, unscripted questioning drifts to recall.</w:t>
            </w:r>
          </w:p>
          <w:p>
            <w:pPr>
              <w:shd w:fill="F5F7F6" w:val="clear"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65F"/>
                <w:sz w:val="16"/>
                <w:szCs w:val="16"/>
              </w:rPr>
              <w:t xml:space="preserve">  Distinguished looks like: </w:t>
            </w:r>
            <w:r>
              <w:rPr>
                <w:rFonts w:ascii="Calibri" w:cs="Calibri" w:eastAsia="Calibri" w:hAnsi="Calibri"/>
                <w:i/>
                <w:iCs/>
                <w:color w:val="44565F"/>
                <w:sz w:val="16"/>
                <w:szCs w:val="16"/>
              </w:rPr>
              <w:t xml:space="preserve">students generate the questions that drive the inquiry.  </w:t>
            </w:r>
          </w:p>
          <w:p>
            <w:pPr>
              <w:pBdr>
                <w:bottom w:val="single" w:color="AEB8B4" w:sz="4"/>
              </w:pBdr>
              <w:spacing w:after="17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EB8B4" w:sz="4"/>
              </w:pBdr>
              <w:spacing w:after="17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EB8B4" w:sz="4"/>
              </w:pBdr>
              <w:spacing w:after="4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C2B33"/>
          <w:sz w:val="2"/>
          <w:szCs w:val="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9266"/>
      </w:tblGrid>
      <w:tr>
        <w:tc>
          <w:tcPr>
            <w:tcW w:type="dxa" w:w="1200"/>
            <w:shd w:fill="8E4A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266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3"/>
                <w:sz w:val="22"/>
                <w:szCs w:val="22"/>
              </w:rPr>
              <w:t xml:space="preserve">Anticipated misconceptions &amp; my counter-move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   Dimensions 2.2 &amp; 2.3 — strongest Accomplished/Distinguished signal a plan can carry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D9DEDC" w:sz="1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C2B33"/>
                <w:sz w:val="20"/>
                <w:szCs w:val="20"/>
              </w:rPr>
              <w:t xml:space="preserve">Students will likely confuse: </w:t>
            </w:r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>__________________________________________   </w:t>
            </w:r>
            <w:r>
              <w:rPr>
                <w:rFonts w:ascii="Calibri" w:cs="Calibri" w:eastAsia="Calibri" w:hAnsi="Calibri"/>
                <w:b/>
                <w:bCs/>
                <w:color w:val="1C2B33"/>
                <w:sz w:val="20"/>
                <w:szCs w:val="20"/>
              </w:rPr>
              <w:t xml:space="preserve">My planned move: </w:t>
            </w:r>
          </w:p>
          <w:p>
            <w:pPr>
              <w:shd w:fill="F5F7F6" w:val="clear"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65F"/>
                <w:sz w:val="16"/>
                <w:szCs w:val="16"/>
              </w:rPr>
              <w:t xml:space="preserve">  Distinguished looks like: </w:t>
            </w:r>
            <w:r>
              <w:rPr>
                <w:rFonts w:ascii="Calibri" w:cs="Calibri" w:eastAsia="Calibri" w:hAnsi="Calibri"/>
                <w:i/>
                <w:iCs/>
                <w:color w:val="44565F"/>
                <w:sz w:val="16"/>
                <w:szCs w:val="16"/>
              </w:rPr>
              <w:t xml:space="preserve">misconceptions are used strategically in the lesson to spark exploration and discovery.  </w:t>
            </w:r>
          </w:p>
          <w:p>
            <w:pPr>
              <w:pBdr>
                <w:bottom w:val="single" w:color="AEB8B4" w:sz="4"/>
              </w:pBdr>
              <w:spacing w:after="17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EB8B4" w:sz="4"/>
              </w:pBdr>
              <w:spacing w:after="4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C2B33"/>
          <w:sz w:val="2"/>
          <w:szCs w:val="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9266"/>
      </w:tblGrid>
      <w:tr>
        <w:tc>
          <w:tcPr>
            <w:tcW w:type="dxa" w:w="1200"/>
            <w:shd w:fill="8E4A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9266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3"/>
                <w:sz w:val="22"/>
                <w:szCs w:val="22"/>
              </w:rPr>
              <w:t xml:space="preserve">Where this lesson fits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   Dimension 2.2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D9DEDC" w:sz="1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C2B33"/>
                <w:sz w:val="20"/>
                <w:szCs w:val="20"/>
              </w:rPr>
              <w:t xml:space="preserve">In the unit / course / discipline: 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one sentence — you'll say it aloud in your pre-conference.</w:t>
            </w:r>
          </w:p>
          <w:p>
            <w:pPr>
              <w:pBdr>
                <w:bottom w:val="single" w:color="AEB8B4" w:sz="4"/>
              </w:pBdr>
              <w:spacing w:after="4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C2B33"/>
          <w:sz w:val="2"/>
          <w:szCs w:val="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9266"/>
      </w:tblGrid>
      <w:tr>
        <w:tc>
          <w:tcPr>
            <w:tcW w:type="dxa" w:w="1200"/>
            <w:shd w:fill="8E4A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9266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3"/>
                <w:sz w:val="22"/>
                <w:szCs w:val="22"/>
              </w:rPr>
              <w:t xml:space="preserve">Mastery bar &amp; persistence plan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   Dimensions 2.1 &amp; 2.5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D9DEDC" w:sz="1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C2B33"/>
                <w:sz w:val="20"/>
                <w:szCs w:val="20"/>
              </w:rPr>
              <w:t xml:space="preserve">I'll know students mastered it when: </w:t>
            </w:r>
            <w:r>
              <w:rPr>
                <w:rFonts w:ascii="Calibri" w:cs="Calibri" w:eastAsia="Calibri" w:hAnsi="Calibri"/>
                <w:color w:val="1C2B33"/>
                <w:sz w:val="20"/>
                <w:szCs w:val="20"/>
              </w:rPr>
              <w:t xml:space="preserve">________________________________________   </w:t>
            </w:r>
            <w:r>
              <w:rPr>
                <w:rFonts w:ascii="Calibri" w:cs="Calibri" w:eastAsia="Calibri" w:hAnsi="Calibri"/>
                <w:b/>
                <w:bCs/>
                <w:color w:val="1C2B33"/>
                <w:sz w:val="20"/>
                <w:szCs w:val="20"/>
              </w:rPr>
              <w:t xml:space="preserve">If they don't (Plan B): </w:t>
            </w:r>
          </w:p>
          <w:p>
            <w:pPr>
              <w:shd w:fill="F5F7F6" w:val="clear"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65F"/>
                <w:sz w:val="16"/>
                <w:szCs w:val="16"/>
              </w:rPr>
              <w:t xml:space="preserve">  Distinguished looks like: </w:t>
            </w:r>
            <w:r>
              <w:rPr>
                <w:rFonts w:ascii="Calibri" w:cs="Calibri" w:eastAsia="Calibri" w:hAnsi="Calibri"/>
                <w:i/>
                <w:iCs/>
                <w:color w:val="44565F"/>
                <w:sz w:val="16"/>
                <w:szCs w:val="16"/>
              </w:rPr>
              <w:t xml:space="preserve">the teacher persists until ALL students demonstrate mastery — not just most.  </w:t>
            </w:r>
          </w:p>
          <w:p>
            <w:pPr>
              <w:pBdr>
                <w:bottom w:val="single" w:color="AEB8B4" w:sz="4"/>
              </w:pBdr>
              <w:spacing w:after="17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EB8B4" w:sz="4"/>
              </w:pBdr>
              <w:spacing w:after="4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C2B33"/>
          <w:sz w:val="2"/>
          <w:szCs w:val="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9266"/>
      </w:tblGrid>
      <w:tr>
        <w:tc>
          <w:tcPr>
            <w:tcW w:type="dxa" w:w="1200"/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+</w:t>
            </w:r>
          </w:p>
        </w:tc>
        <w:tc>
          <w:tcPr>
            <w:tcW w:type="dxa" w:w="9266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3"/>
                <w:sz w:val="22"/>
                <w:szCs w:val="22"/>
              </w:rPr>
              <w:t xml:space="preserve">Room logistics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   Dimensions 3.1–3.3 — one line each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/>
          <w:bCs/>
          <w:color w:val="1C2B33"/>
          <w:sz w:val="19"/>
          <w:szCs w:val="19"/>
        </w:rPr>
        <w:t xml:space="preserve">Materials &amp; who manages them </w:t>
      </w:r>
      <w:r>
        <w:rPr>
          <w:rFonts w:ascii="Calibri" w:cs="Calibri" w:eastAsia="Calibri" w:hAnsi="Calibri"/>
          <w:i/>
          <w:iCs/>
          <w:color w:val="71807B"/>
          <w:sz w:val="16"/>
          <w:szCs w:val="16"/>
        </w:rPr>
        <w:t xml:space="preserve">(students, ideally): </w:t>
      </w:r>
      <w:r>
        <w:rPr>
          <w:rFonts w:ascii="Calibri" w:cs="Calibri" w:eastAsia="Calibri" w:hAnsi="Calibri"/>
          <w:color w:val="1C2B33"/>
          <w:sz w:val="19"/>
          <w:szCs w:val="19"/>
        </w:rPr>
        <w:t xml:space="preserve"> 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C2B33"/>
          <w:sz w:val="19"/>
          <w:szCs w:val="19"/>
        </w:rPr>
        <w:t xml:space="preserve">Transitions / routines in play: </w:t>
      </w:r>
      <w:r>
        <w:rPr>
          <w:rFonts w:ascii="Calibri" w:cs="Calibri" w:eastAsia="Calibri" w:hAnsi="Calibri"/>
          <w:color w:val="1C2B33"/>
          <w:sz w:val="19"/>
          <w:szCs w:val="19"/>
        </w:rPr>
        <w:t xml:space="preserve">__________________________________________________________________________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C2B33"/>
          <w:sz w:val="19"/>
          <w:szCs w:val="19"/>
        </w:rPr>
        <w:t xml:space="preserve">Collaboration norms or discussion protocol </w:t>
      </w:r>
      <w:r>
        <w:rPr>
          <w:rFonts w:ascii="Calibri" w:cs="Calibri" w:eastAsia="Calibri" w:hAnsi="Calibri"/>
          <w:i/>
          <w:iCs/>
          <w:color w:val="71807B"/>
          <w:sz w:val="16"/>
          <w:szCs w:val="16"/>
        </w:rPr>
        <w:t xml:space="preserve">(if any): </w:t>
      </w:r>
      <w:r>
        <w:rPr>
          <w:rFonts w:ascii="Calibri" w:cs="Calibri" w:eastAsia="Calibri" w:hAnsi="Calibri"/>
          <w:color w:val="1C2B33"/>
          <w:sz w:val="19"/>
          <w:szCs w:val="19"/>
        </w:rPr>
        <w:t xml:space="preserve"> ______________________________________________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9266"/>
      </w:tblGrid>
      <w:tr>
        <w:tc>
          <w:tcPr>
            <w:tcW w:type="dxa" w:w="1200"/>
            <w:shd w:fill="C96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9266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3"/>
                <w:sz w:val="22"/>
                <w:szCs w:val="22"/>
              </w:rPr>
              <w:t xml:space="preserve">Goal connection — the Domain 4 hook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   Dimension 4.2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D9DEDC" w:sz="1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C2B33"/>
                <w:sz w:val="20"/>
                <w:szCs w:val="20"/>
              </w:rPr>
              <w:t xml:space="preserve">This lesson serves my GSPD goal / refinement area by: </w:t>
            </w:r>
            <w:r>
              <w:rPr>
                <w:rFonts w:ascii="Calibri" w:cs="Calibri" w:eastAsia="Calibri" w:hAnsi="Calibri"/>
                <w:i/>
                <w:iCs/>
                <w:color w:val="71807B"/>
                <w:sz w:val="16"/>
                <w:szCs w:val="16"/>
              </w:rPr>
              <w:t xml:space="preserve">one sentence turns this plan into Domain 1 AND Domain 4 evidence.</w:t>
            </w:r>
          </w:p>
          <w:p>
            <w:pPr>
              <w:pBdr>
                <w:bottom w:val="single" w:color="AEB8B4" w:sz="4"/>
              </w:pBdr>
              <w:spacing w:after="40"/>
            </w:pPr>
            <w:r>
              <w:rPr>
                <w:rFonts w:ascii="Calibri" w:cs="Calibri" w:eastAsia="Calibri" w:hAnsi="Calibri"/>
                <w:color w:val="1C2B33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C2B33"/>
          <w:sz w:val="2"/>
          <w:szCs w:val="2"/>
        </w:rPr>
        <w:t xml:space="preserve"/>
      </w:r>
    </w:p>
    <w:p>
      <w:pPr>
        <w:pBdr>
          <w:top w:val="single" w:color="D9DEDC" w:sz="4"/>
        </w:pBdr>
        <w:spacing w:before="120"/>
      </w:pPr>
      <w:r>
        <w:rPr>
          <w:rFonts w:ascii="Calibri" w:cs="Calibri" w:eastAsia="Calibri" w:hAnsi="Calibri"/>
          <w:color w:val="71807B"/>
          <w:sz w:val="15"/>
          <w:szCs w:val="15"/>
        </w:rPr>
        <w:t xml:space="preserve">T-TESS Companion · tesscompanion.netlify.app — free evidence tracker &amp; AI coach for Texas teachers. </w:t>
      </w:r>
      <w:r>
        <w:rPr>
          <w:rFonts w:ascii="Calibri" w:cs="Calibri" w:eastAsia="Calibri" w:hAnsi="Calibri"/>
          <w:i/>
          <w:iCs/>
          <w:color w:val="71807B"/>
          <w:sz w:val="15"/>
          <w:szCs w:val="15"/>
        </w:rPr>
        <w:t xml:space="preserve">Independent teacher-made resource; not affiliated with TEA. Your district's local policies control.</w:t>
      </w:r>
    </w:p>
    <w:sectPr>
      <w:pgSz w:w="12240" w:h="15840" w:orient="portrait"/>
      <w:pgMar w:top="720" w:right="887" w:bottom="720" w:left="8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2026-07-16T02:04:55.893Z</dcterms:created>
  <dcterms:modified xsi:type="dcterms:W3CDTF">2026-07-16T02:04:55.908Z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