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line="480"/>
      </w:pPr>
    </w:p>
    <w:p>
      <w:pPr>
        <w:spacing w:after="0" w:before="0" w:line="480"/>
        <w:jc w:val="center"/>
      </w:pPr>
      <w:r>
        <w:rPr>
          <w:rFonts w:ascii="Times New Roman" w:cs="Times New Roman" w:eastAsia="Times New Roman" w:hAnsi="Times New Roman"/>
          <w:b/>
          <w:bCs/>
          <w:sz w:val="24"/>
          <w:szCs w:val="24"/>
        </w:rPr>
        <w:t xml:space="preserve">Data Analytics Capstone</w:t>
      </w:r>
    </w:p>
    <w:p>
      <w:pPr>
        <w:spacing w:after="0" w:before="0" w:line="480"/>
        <w:jc w:val="center"/>
      </w:pPr>
      <w:r>
        <w:rPr>
          <w:rFonts w:ascii="Times New Roman" w:cs="Times New Roman" w:eastAsia="Times New Roman" w:hAnsi="Times New Roman"/>
          <w:b/>
          <w:bCs/>
          <w:sz w:val="24"/>
          <w:szCs w:val="24"/>
        </w:rPr>
        <w:t xml:space="preserve">Predicting Service Level Agreement Breach in IT Incident Management: An Analysis of Ticket-Level Drivers in an Enterprise ServiceNow Event Log</w:t>
      </w:r>
    </w:p>
    <w:p>
      <w:pPr>
        <w:spacing w:after="0" w:before="0" w:line="480"/>
        <w:jc w:val="center"/>
      </w:pPr>
      <w:r>
        <w:rPr>
          <w:rFonts w:ascii="Times New Roman" w:cs="Times New Roman" w:eastAsia="Times New Roman" w:hAnsi="Times New Roman"/>
          <w:b/>
          <w:bCs/>
          <w:sz w:val="24"/>
          <w:szCs w:val="24"/>
        </w:rPr>
        <w:t xml:space="preserve">Synopsis</w:t>
      </w:r>
    </w:p>
    <w:p>
      <w:pPr>
        <w:spacing w:after="0" w:before="0" w:line="480"/>
      </w:pPr>
    </w:p>
    <w:p>
      <w:pPr>
        <w:spacing w:after="0" w:before="0" w:line="480"/>
        <w:jc w:val="center"/>
      </w:pPr>
      <w:r>
        <w:rPr>
          <w:rFonts w:ascii="Times New Roman" w:cs="Times New Roman" w:eastAsia="Times New Roman" w:hAnsi="Times New Roman"/>
          <w:sz w:val="24"/>
          <w:szCs w:val="24"/>
        </w:rPr>
        <w:t xml:space="preserve">Binesh Balakrishnan</w:t>
      </w:r>
    </w:p>
    <w:p>
      <w:pPr>
        <w:spacing w:after="0" w:before="0" w:line="480"/>
        <w:jc w:val="center"/>
      </w:pPr>
      <w:r>
        <w:rPr>
          <w:rFonts w:ascii="Times New Roman" w:cs="Times New Roman" w:eastAsia="Times New Roman" w:hAnsi="Times New Roman"/>
          <w:sz w:val="24"/>
          <w:szCs w:val="24"/>
        </w:rPr>
        <w:t xml:space="preserve">Walsh College</w:t>
      </w:r>
    </w:p>
    <w:p>
      <w:pPr>
        <w:spacing w:after="0" w:before="0" w:line="480"/>
        <w:jc w:val="center"/>
      </w:pPr>
      <w:r>
        <w:rPr>
          <w:rFonts w:ascii="Times New Roman" w:cs="Times New Roman" w:eastAsia="Times New Roman" w:hAnsi="Times New Roman"/>
          <w:sz w:val="24"/>
          <w:szCs w:val="24"/>
        </w:rPr>
        <w:t xml:space="preserve">QM640: Data Analytics Capstone</w:t>
      </w:r>
    </w:p>
    <w:p>
      <w:pPr>
        <w:spacing w:after="0" w:before="0" w:line="480"/>
        <w:jc w:val="center"/>
      </w:pPr>
      <w:r>
        <w:rPr>
          <w:rFonts w:ascii="Times New Roman" w:cs="Times New Roman" w:eastAsia="Times New Roman" w:hAnsi="Times New Roman"/>
          <w:sz w:val="24"/>
          <w:szCs w:val="24"/>
        </w:rPr>
        <w:t xml:space="preserve">Ms Keya Choudhury Ganguli</w:t>
      </w:r>
    </w:p>
    <w:p>
      <w:pPr>
        <w:spacing w:after="0" w:before="0" w:line="480"/>
        <w:jc w:val="center"/>
      </w:pPr>
      <w:r>
        <w:rPr>
          <w:rFonts w:ascii="Times New Roman" w:cs="Times New Roman" w:eastAsia="Times New Roman" w:hAnsi="Times New Roman"/>
          <w:sz w:val="24"/>
          <w:szCs w:val="24"/>
        </w:rPr>
        <w:t xml:space="preserve">Term 3</w:t>
      </w:r>
    </w:p>
    <w:p>
      <w:pPr>
        <w:spacing w:after="0" w:before="0" w:line="480"/>
        <w:jc w:val="center"/>
      </w:pPr>
      <w:r>
        <w:rPr>
          <w:rFonts w:ascii="Times New Roman" w:cs="Times New Roman" w:eastAsia="Times New Roman" w:hAnsi="Times New Roman"/>
          <w:sz w:val="24"/>
          <w:szCs w:val="24"/>
        </w:rPr>
        <w:t xml:space="preserve">October 13, 2026</w:t>
      </w:r>
    </w:p>
    <w:p>
      <w:pPr>
        <w:pageBreakBefore/>
        <w:spacing w:after="0" w:before="0" w:line="480"/>
        <w:jc w:val="center"/>
      </w:pPr>
      <w:r>
        <w:rPr>
          <w:rFonts w:ascii="Times New Roman" w:cs="Times New Roman" w:eastAsia="Times New Roman" w:hAnsi="Times New Roman"/>
          <w:b/>
          <w:bCs/>
          <w:sz w:val="24"/>
          <w:szCs w:val="24"/>
        </w:rPr>
        <w:t xml:space="preserve">Table of Contents</w:t>
      </w:r>
    </w:p>
    <w:p>
      <w:pPr>
        <w:pStyle w:val="TOC1"/>
      </w:pPr>
      <w:r>
        <w:fldChar w:fldCharType="begin"/>
      </w:r>
      <w:r>
        <w:instrText xml:space="preserve"> TOC \o "1-2" \h \z \u </w:instrText>
      </w:r>
      <w:r>
        <w:fldChar w:fldCharType="separate"/>
      </w:r>
      <w:r>
        <w:rPr>
          <w:rFonts w:ascii="Times New Roman" w:cs="Times New Roman" w:eastAsia="Times New Roman" w:hAnsi="Times New Roman"/>
          <w:sz w:val="24"/>
          <w:szCs w:val="24"/>
        </w:rPr>
        <w:t xml:space="preserve">Introduction</w:t>
      </w:r>
      <w:r>
        <w:rPr>
          <w:rFonts w:ascii="Times New Roman" w:cs="Times New Roman" w:eastAsia="Times New Roman" w:hAnsi="Times New Roman"/>
          <w:sz w:val="24"/>
          <w:szCs w:val="24"/>
        </w:rPr>
        <w:tab/>
        <w:t xml:space="preserve">3</w:t>
      </w:r>
    </w:p>
    <w:p>
      <w:pPr>
        <w:pStyle w:val="TOC2"/>
      </w:pPr>
      <w:r>
        <w:rPr>
          <w:rFonts w:ascii="Times New Roman" w:cs="Times New Roman" w:eastAsia="Times New Roman" w:hAnsi="Times New Roman"/>
          <w:sz w:val="24"/>
          <w:szCs w:val="24"/>
        </w:rPr>
        <w:t xml:space="preserve">Background and Context</w:t>
      </w:r>
      <w:r>
        <w:rPr>
          <w:rFonts w:ascii="Times New Roman" w:cs="Times New Roman" w:eastAsia="Times New Roman" w:hAnsi="Times New Roman"/>
          <w:sz w:val="24"/>
          <w:szCs w:val="24"/>
        </w:rPr>
        <w:tab/>
        <w:t xml:space="preserve">3</w:t>
      </w:r>
    </w:p>
    <w:p>
      <w:pPr>
        <w:pStyle w:val="TOC2"/>
      </w:pPr>
      <w:r>
        <w:rPr>
          <w:rFonts w:ascii="Times New Roman" w:cs="Times New Roman" w:eastAsia="Times New Roman" w:hAnsi="Times New Roman"/>
          <w:sz w:val="24"/>
          <w:szCs w:val="24"/>
        </w:rPr>
        <w:t xml:space="preserve">Problem Statement</w:t>
      </w:r>
      <w:r>
        <w:rPr>
          <w:rFonts w:ascii="Times New Roman" w:cs="Times New Roman" w:eastAsia="Times New Roman" w:hAnsi="Times New Roman"/>
          <w:sz w:val="24"/>
          <w:szCs w:val="24"/>
        </w:rPr>
        <w:tab/>
        <w:t xml:space="preserve">4</w:t>
      </w:r>
    </w:p>
    <w:p>
      <w:pPr>
        <w:pStyle w:val="TOC2"/>
      </w:pPr>
      <w:r>
        <w:rPr>
          <w:rFonts w:ascii="Times New Roman" w:cs="Times New Roman" w:eastAsia="Times New Roman" w:hAnsi="Times New Roman"/>
          <w:sz w:val="24"/>
          <w:szCs w:val="24"/>
        </w:rPr>
        <w:t xml:space="preserve">Purpose of the Study</w:t>
      </w:r>
      <w:r>
        <w:rPr>
          <w:rFonts w:ascii="Times New Roman" w:cs="Times New Roman" w:eastAsia="Times New Roman" w:hAnsi="Times New Roman"/>
          <w:sz w:val="24"/>
          <w:szCs w:val="24"/>
        </w:rPr>
        <w:tab/>
        <w:t xml:space="preserve">4</w:t>
      </w:r>
    </w:p>
    <w:p>
      <w:pPr>
        <w:pStyle w:val="TOC2"/>
      </w:pPr>
      <w:r>
        <w:rPr>
          <w:rFonts w:ascii="Times New Roman" w:cs="Times New Roman" w:eastAsia="Times New Roman" w:hAnsi="Times New Roman"/>
          <w:sz w:val="24"/>
          <w:szCs w:val="24"/>
        </w:rPr>
        <w:t xml:space="preserve">Significance of the Study</w:t>
      </w:r>
      <w:r>
        <w:rPr>
          <w:rFonts w:ascii="Times New Roman" w:cs="Times New Roman" w:eastAsia="Times New Roman" w:hAnsi="Times New Roman"/>
          <w:sz w:val="24"/>
          <w:szCs w:val="24"/>
        </w:rPr>
        <w:tab/>
        <w:t xml:space="preserve">5</w:t>
      </w:r>
    </w:p>
    <w:p>
      <w:pPr>
        <w:pStyle w:val="TOC1"/>
      </w:pPr>
      <w:r>
        <w:rPr>
          <w:rFonts w:ascii="Times New Roman" w:cs="Times New Roman" w:eastAsia="Times New Roman" w:hAnsi="Times New Roman"/>
          <w:sz w:val="24"/>
          <w:szCs w:val="24"/>
        </w:rPr>
        <w:t xml:space="preserve">Scope and Objectives</w:t>
      </w:r>
      <w:r>
        <w:rPr>
          <w:rFonts w:ascii="Times New Roman" w:cs="Times New Roman" w:eastAsia="Times New Roman" w:hAnsi="Times New Roman"/>
          <w:sz w:val="24"/>
          <w:szCs w:val="24"/>
        </w:rPr>
        <w:tab/>
        <w:t xml:space="preserve">5</w:t>
      </w:r>
    </w:p>
    <w:p>
      <w:pPr>
        <w:pStyle w:val="TOC2"/>
      </w:pPr>
      <w:r>
        <w:rPr>
          <w:rFonts w:ascii="Times New Roman" w:cs="Times New Roman" w:eastAsia="Times New Roman" w:hAnsi="Times New Roman"/>
          <w:sz w:val="24"/>
          <w:szCs w:val="24"/>
        </w:rPr>
        <w:t xml:space="preserve">Research Questions and Hypotheses</w:t>
      </w:r>
      <w:r>
        <w:rPr>
          <w:rFonts w:ascii="Times New Roman" w:cs="Times New Roman" w:eastAsia="Times New Roman" w:hAnsi="Times New Roman"/>
          <w:sz w:val="24"/>
          <w:szCs w:val="24"/>
        </w:rPr>
        <w:tab/>
        <w:t xml:space="preserve">6</w:t>
      </w:r>
    </w:p>
    <w:p>
      <w:pPr>
        <w:pStyle w:val="TOC1"/>
      </w:pPr>
      <w:r>
        <w:rPr>
          <w:rFonts w:ascii="Times New Roman" w:cs="Times New Roman" w:eastAsia="Times New Roman" w:hAnsi="Times New Roman"/>
          <w:sz w:val="24"/>
          <w:szCs w:val="24"/>
        </w:rPr>
        <w:t xml:space="preserve">Sample Size Calculation</w:t>
      </w:r>
      <w:r>
        <w:rPr>
          <w:rFonts w:ascii="Times New Roman" w:cs="Times New Roman" w:eastAsia="Times New Roman" w:hAnsi="Times New Roman"/>
          <w:sz w:val="24"/>
          <w:szCs w:val="24"/>
        </w:rPr>
        <w:tab/>
        <w:t xml:space="preserve">7</w:t>
      </w:r>
    </w:p>
    <w:p>
      <w:pPr>
        <w:pStyle w:val="TOC1"/>
      </w:pPr>
      <w:r>
        <w:rPr>
          <w:rFonts w:ascii="Times New Roman" w:cs="Times New Roman" w:eastAsia="Times New Roman" w:hAnsi="Times New Roman"/>
          <w:sz w:val="24"/>
          <w:szCs w:val="24"/>
        </w:rPr>
        <w:t xml:space="preserve">Data Description</w:t>
      </w:r>
      <w:r>
        <w:rPr>
          <w:rFonts w:ascii="Times New Roman" w:cs="Times New Roman" w:eastAsia="Times New Roman" w:hAnsi="Times New Roman"/>
          <w:sz w:val="24"/>
          <w:szCs w:val="24"/>
        </w:rPr>
        <w:tab/>
        <w:t xml:space="preserve">10</w:t>
      </w:r>
    </w:p>
    <w:p>
      <w:pPr>
        <w:pStyle w:val="TOC2"/>
      </w:pPr>
      <w:r>
        <w:rPr>
          <w:rFonts w:ascii="Times New Roman" w:cs="Times New Roman" w:eastAsia="Times New Roman" w:hAnsi="Times New Roman"/>
          <w:sz w:val="24"/>
          <w:szCs w:val="24"/>
        </w:rPr>
        <w:t xml:space="preserve">Source and Access</w:t>
      </w:r>
      <w:r>
        <w:rPr>
          <w:rFonts w:ascii="Times New Roman" w:cs="Times New Roman" w:eastAsia="Times New Roman" w:hAnsi="Times New Roman"/>
          <w:sz w:val="24"/>
          <w:szCs w:val="24"/>
        </w:rPr>
        <w:tab/>
        <w:t xml:space="preserve">10</w:t>
      </w:r>
    </w:p>
    <w:p>
      <w:pPr>
        <w:pStyle w:val="TOC2"/>
      </w:pPr>
      <w:r>
        <w:rPr>
          <w:rFonts w:ascii="Times New Roman" w:cs="Times New Roman" w:eastAsia="Times New Roman" w:hAnsi="Times New Roman"/>
          <w:sz w:val="24"/>
          <w:szCs w:val="24"/>
        </w:rPr>
        <w:t xml:space="preserve">Data Ethics, Privacy, and Bias</w:t>
      </w:r>
      <w:r>
        <w:rPr>
          <w:rFonts w:ascii="Times New Roman" w:cs="Times New Roman" w:eastAsia="Times New Roman" w:hAnsi="Times New Roman"/>
          <w:sz w:val="24"/>
          <w:szCs w:val="24"/>
        </w:rPr>
        <w:tab/>
        <w:t xml:space="preserve">11</w:t>
      </w:r>
    </w:p>
    <w:p>
      <w:pPr>
        <w:pStyle w:val="TOC2"/>
      </w:pPr>
      <w:r>
        <w:rPr>
          <w:rFonts w:ascii="Times New Roman" w:cs="Times New Roman" w:eastAsia="Times New Roman" w:hAnsi="Times New Roman"/>
          <w:sz w:val="24"/>
          <w:szCs w:val="24"/>
        </w:rPr>
        <w:t xml:space="preserve">Structure of the Data</w:t>
      </w:r>
      <w:r>
        <w:rPr>
          <w:rFonts w:ascii="Times New Roman" w:cs="Times New Roman" w:eastAsia="Times New Roman" w:hAnsi="Times New Roman"/>
          <w:sz w:val="24"/>
          <w:szCs w:val="24"/>
        </w:rPr>
        <w:tab/>
        <w:t xml:space="preserve">12</w:t>
      </w:r>
    </w:p>
    <w:p>
      <w:pPr>
        <w:pStyle w:val="TOC2"/>
      </w:pPr>
      <w:r>
        <w:rPr>
          <w:rFonts w:ascii="Times New Roman" w:cs="Times New Roman" w:eastAsia="Times New Roman" w:hAnsi="Times New Roman"/>
          <w:sz w:val="24"/>
          <w:szCs w:val="24"/>
        </w:rPr>
        <w:t xml:space="preserve">Study Variables and Measurement</w:t>
      </w:r>
      <w:r>
        <w:rPr>
          <w:rFonts w:ascii="Times New Roman" w:cs="Times New Roman" w:eastAsia="Times New Roman" w:hAnsi="Times New Roman"/>
          <w:sz w:val="24"/>
          <w:szCs w:val="24"/>
        </w:rPr>
        <w:tab/>
        <w:t xml:space="preserve">15</w:t>
      </w:r>
    </w:p>
    <w:p>
      <w:pPr>
        <w:pStyle w:val="TOC2"/>
      </w:pPr>
      <w:r>
        <w:rPr>
          <w:rFonts w:ascii="Times New Roman" w:cs="Times New Roman" w:eastAsia="Times New Roman" w:hAnsi="Times New Roman"/>
          <w:sz w:val="24"/>
          <w:szCs w:val="24"/>
        </w:rPr>
        <w:t xml:space="preserve">Data Preparation and Preliminary Profile</w:t>
      </w:r>
      <w:r>
        <w:rPr>
          <w:rFonts w:ascii="Times New Roman" w:cs="Times New Roman" w:eastAsia="Times New Roman" w:hAnsi="Times New Roman"/>
          <w:sz w:val="24"/>
          <w:szCs w:val="24"/>
        </w:rPr>
        <w:tab/>
        <w:t xml:space="preserve">16</w:t>
      </w:r>
    </w:p>
    <w:p>
      <w:pPr>
        <w:pStyle w:val="TOC1"/>
      </w:pPr>
      <w:r>
        <w:rPr>
          <w:rFonts w:ascii="Times New Roman" w:cs="Times New Roman" w:eastAsia="Times New Roman" w:hAnsi="Times New Roman"/>
          <w:sz w:val="24"/>
          <w:szCs w:val="24"/>
        </w:rPr>
        <w:t xml:space="preserve">Analytic Approach</w:t>
      </w:r>
      <w:r>
        <w:rPr>
          <w:rFonts w:ascii="Times New Roman" w:cs="Times New Roman" w:eastAsia="Times New Roman" w:hAnsi="Times New Roman"/>
          <w:sz w:val="24"/>
          <w:szCs w:val="24"/>
        </w:rPr>
        <w:tab/>
        <w:t xml:space="preserve">17</w:t>
      </w:r>
    </w:p>
    <w:p>
      <w:pPr>
        <w:pStyle w:val="TOC2"/>
      </w:pPr>
      <w:r>
        <w:rPr>
          <w:rFonts w:ascii="Times New Roman" w:cs="Times New Roman" w:eastAsia="Times New Roman" w:hAnsi="Times New Roman"/>
          <w:sz w:val="24"/>
          <w:szCs w:val="24"/>
        </w:rPr>
        <w:t xml:space="preserve">Solution to RQ1: Priority and SLA Breach</w:t>
      </w:r>
      <w:r>
        <w:rPr>
          <w:rFonts w:ascii="Times New Roman" w:cs="Times New Roman" w:eastAsia="Times New Roman" w:hAnsi="Times New Roman"/>
          <w:sz w:val="24"/>
          <w:szCs w:val="24"/>
        </w:rPr>
        <w:tab/>
        <w:t xml:space="preserve">18</w:t>
      </w:r>
    </w:p>
    <w:p>
      <w:pPr>
        <w:pStyle w:val="TOC2"/>
      </w:pPr>
      <w:r>
        <w:rPr>
          <w:rFonts w:ascii="Times New Roman" w:cs="Times New Roman" w:eastAsia="Times New Roman" w:hAnsi="Times New Roman"/>
          <w:sz w:val="24"/>
          <w:szCs w:val="24"/>
        </w:rPr>
        <w:t xml:space="preserve">Solution to RQ2: Reassignment and SLA Breach</w:t>
      </w:r>
      <w:r>
        <w:rPr>
          <w:rFonts w:ascii="Times New Roman" w:cs="Times New Roman" w:eastAsia="Times New Roman" w:hAnsi="Times New Roman"/>
          <w:sz w:val="24"/>
          <w:szCs w:val="24"/>
        </w:rPr>
        <w:tab/>
        <w:t xml:space="preserve">19</w:t>
      </w:r>
    </w:p>
    <w:p>
      <w:pPr>
        <w:pStyle w:val="TOC2"/>
      </w:pPr>
      <w:r>
        <w:rPr>
          <w:rFonts w:ascii="Times New Roman" w:cs="Times New Roman" w:eastAsia="Times New Roman" w:hAnsi="Times New Roman"/>
          <w:sz w:val="24"/>
          <w:szCs w:val="24"/>
        </w:rPr>
        <w:t xml:space="preserve">Solution to RQ3: Knowledge-Base Use and SLA Breach</w:t>
      </w:r>
      <w:r>
        <w:rPr>
          <w:rFonts w:ascii="Times New Roman" w:cs="Times New Roman" w:eastAsia="Times New Roman" w:hAnsi="Times New Roman"/>
          <w:sz w:val="24"/>
          <w:szCs w:val="24"/>
        </w:rPr>
        <w:tab/>
        <w:t xml:space="preserve">19</w:t>
      </w:r>
    </w:p>
    <w:p>
      <w:pPr>
        <w:pStyle w:val="TOC2"/>
      </w:pPr>
      <w:r>
        <w:rPr>
          <w:rFonts w:ascii="Times New Roman" w:cs="Times New Roman" w:eastAsia="Times New Roman" w:hAnsi="Times New Roman"/>
          <w:sz w:val="24"/>
          <w:szCs w:val="24"/>
        </w:rPr>
        <w:t xml:space="preserve">Solution to RQ4: Predicting SLA Breach at Logging</w:t>
      </w:r>
      <w:r>
        <w:rPr>
          <w:rFonts w:ascii="Times New Roman" w:cs="Times New Roman" w:eastAsia="Times New Roman" w:hAnsi="Times New Roman"/>
          <w:sz w:val="24"/>
          <w:szCs w:val="24"/>
        </w:rPr>
        <w:tab/>
        <w:t xml:space="preserve">20</w:t>
      </w:r>
    </w:p>
    <w:p>
      <w:pPr>
        <w:pStyle w:val="TOC2"/>
      </w:pPr>
      <w:r>
        <w:rPr>
          <w:rFonts w:ascii="Times New Roman" w:cs="Times New Roman" w:eastAsia="Times New Roman" w:hAnsi="Times New Roman"/>
          <w:sz w:val="24"/>
          <w:szCs w:val="24"/>
        </w:rPr>
        <w:t xml:space="preserve">End-to-End Solution Pipeline</w:t>
      </w:r>
      <w:r>
        <w:rPr>
          <w:rFonts w:ascii="Times New Roman" w:cs="Times New Roman" w:eastAsia="Times New Roman" w:hAnsi="Times New Roman"/>
          <w:sz w:val="24"/>
          <w:szCs w:val="24"/>
        </w:rPr>
        <w:tab/>
        <w:t xml:space="preserve">21</w:t>
      </w:r>
    </w:p>
    <w:p>
      <w:pPr>
        <w:pStyle w:val="TOC2"/>
      </w:pPr>
      <w:r>
        <w:rPr>
          <w:rFonts w:ascii="Times New Roman" w:cs="Times New Roman" w:eastAsia="Times New Roman" w:hAnsi="Times New Roman"/>
          <w:sz w:val="24"/>
          <w:szCs w:val="24"/>
        </w:rPr>
        <w:t xml:space="preserve">Limitations and Threats to Validity</w:t>
      </w:r>
      <w:r>
        <w:rPr>
          <w:rFonts w:ascii="Times New Roman" w:cs="Times New Roman" w:eastAsia="Times New Roman" w:hAnsi="Times New Roman"/>
          <w:sz w:val="24"/>
          <w:szCs w:val="24"/>
        </w:rPr>
        <w:tab/>
        <w:t xml:space="preserve">22</w:t>
      </w:r>
    </w:p>
    <w:p>
      <w:pPr>
        <w:pStyle w:val="TOC1"/>
      </w:pPr>
      <w:r>
        <w:rPr>
          <w:rFonts w:ascii="Times New Roman" w:cs="Times New Roman" w:eastAsia="Times New Roman" w:hAnsi="Times New Roman"/>
          <w:sz w:val="24"/>
          <w:szCs w:val="24"/>
        </w:rPr>
        <w:t xml:space="preserve">Recommendation and Application</w:t>
      </w:r>
      <w:r>
        <w:rPr>
          <w:rFonts w:ascii="Times New Roman" w:cs="Times New Roman" w:eastAsia="Times New Roman" w:hAnsi="Times New Roman"/>
          <w:sz w:val="24"/>
          <w:szCs w:val="24"/>
        </w:rPr>
        <w:tab/>
        <w:t xml:space="preserve">22</w:t>
      </w:r>
    </w:p>
    <w:p>
      <w:pPr>
        <w:pStyle w:val="TOC1"/>
      </w:pPr>
      <w:r>
        <w:rPr>
          <w:rFonts w:ascii="Times New Roman" w:cs="Times New Roman" w:eastAsia="Times New Roman" w:hAnsi="Times New Roman"/>
          <w:sz w:val="24"/>
          <w:szCs w:val="24"/>
        </w:rPr>
        <w:t xml:space="preserve">Project Plan and Resources</w:t>
      </w:r>
      <w:r>
        <w:rPr>
          <w:rFonts w:ascii="Times New Roman" w:cs="Times New Roman" w:eastAsia="Times New Roman" w:hAnsi="Times New Roman"/>
          <w:sz w:val="24"/>
          <w:szCs w:val="24"/>
        </w:rPr>
        <w:tab/>
        <w:t xml:space="preserve">23</w:t>
      </w:r>
    </w:p>
    <w:p>
      <w:pPr>
        <w:pStyle w:val="TOC1"/>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ab/>
        <w:t xml:space="preserve">25</w:t>
      </w:r>
    </w:p>
    <w:p>
      <w:pPr>
        <w:pStyle w:val="TOC1"/>
      </w:pPr>
      <w:r>
        <w:rPr>
          <w:rFonts w:ascii="Times New Roman" w:cs="Times New Roman" w:eastAsia="Times New Roman" w:hAnsi="Times New Roman"/>
          <w:sz w:val="24"/>
          <w:szCs w:val="24"/>
        </w:rPr>
        <w:t xml:space="preserve">Appendix A</w:t>
      </w:r>
      <w:r>
        <w:rPr>
          <w:rFonts w:ascii="Times New Roman" w:cs="Times New Roman" w:eastAsia="Times New Roman" w:hAnsi="Times New Roman"/>
          <w:sz w:val="24"/>
          <w:szCs w:val="24"/>
        </w:rPr>
        <w:tab/>
        <w:t xml:space="preserve">28</w:t>
      </w:r>
      <w:r>
        <w:fldChar w:fldCharType="end"/>
      </w:r>
    </w:p>
    <w:p>
      <w:pPr>
        <w:pStyle w:val="Heading1"/>
        <w:pageBreakBefore/>
        <w:spacing w:after="0" w:before="0" w:line="480"/>
        <w:jc w:val="center"/>
      </w:pPr>
      <w:r>
        <w:rPr>
          <w:rFonts w:ascii="Times New Roman" w:cs="Times New Roman" w:eastAsia="Times New Roman" w:hAnsi="Times New Roman"/>
          <w:b/>
          <w:bCs/>
          <w:sz w:val="24"/>
          <w:szCs w:val="24"/>
        </w:rPr>
        <w:t xml:space="preserve">Introduction</w:t>
      </w:r>
    </w:p>
    <w:p>
      <w:pPr>
        <w:pStyle w:val="Heading2"/>
        <w:spacing w:after="0" w:before="0" w:line="480"/>
      </w:pPr>
      <w:r>
        <w:rPr>
          <w:rFonts w:ascii="Times New Roman" w:cs="Times New Roman" w:eastAsia="Times New Roman" w:hAnsi="Times New Roman"/>
          <w:b/>
          <w:bCs/>
          <w:sz w:val="24"/>
          <w:szCs w:val="24"/>
        </w:rPr>
        <w:t xml:space="preserve">Background and Context</w:t>
      </w:r>
    </w:p>
    <w:p>
      <w:pPr>
        <w:spacing w:after="0" w:before="0" w:line="480"/>
        <w:ind w:firstLine="720"/>
      </w:pPr>
      <w:r>
        <w:rPr>
          <w:rFonts w:ascii="Times New Roman" w:cs="Times New Roman" w:eastAsia="Times New Roman" w:hAnsi="Times New Roman"/>
          <w:sz w:val="24"/>
          <w:szCs w:val="24"/>
        </w:rPr>
        <w:t xml:space="preserve">Incident management is the IT service management (ITSM) process that restores normal service as quickly as possible after an unplanned interruption. In enterprise environments it is usually run on a ticketing platform such as ServiceNow, where each incident is logged, prioritised from its impact and urgency, routed to a support group, worked, resolved, and closed. Frameworks such as the IT Infrastructure Library (ITIL) formalise this lifecycle, and organisations adopting them report gains in service quality but persistent difficulty in measuring and improving process performance (Marrone &amp; Kolbe, 2011).</w:t>
      </w:r>
    </w:p>
    <w:p>
      <w:pPr>
        <w:spacing w:after="0" w:before="0" w:line="480"/>
        <w:ind w:firstLine="720"/>
      </w:pPr>
      <w:r>
        <w:rPr>
          <w:rFonts w:ascii="Times New Roman" w:cs="Times New Roman" w:eastAsia="Times New Roman" w:hAnsi="Times New Roman"/>
          <w:sz w:val="24"/>
          <w:szCs w:val="24"/>
        </w:rPr>
        <w:t xml:space="preserve">In managed services, the performance of this process is governed by a service level agreement (SLA): a contractual commitment to resolve incidents within target times that depend on priority. An SLA breach is therefore a commercial event as well as an operational one. Breaches erode customer confidence, can trigger service credits in outsourcing contracts, and consume the time of the service delivery managers who must explain them in monthly reviews. The stakeholders are the end users who experience the outage, the service desk and resolver groups who work the tickets, the service delivery manager accountable for SLA attainment, and the client who pays for the service.</w:t>
      </w:r>
    </w:p>
    <w:p>
      <w:pPr>
        <w:spacing w:after="0" w:before="0" w:line="480"/>
        <w:ind w:firstLine="720"/>
      </w:pPr>
      <w:r>
        <w:rPr>
          <w:rFonts w:ascii="Times New Roman" w:cs="Times New Roman" w:eastAsia="Times New Roman" w:hAnsi="Times New Roman"/>
          <w:sz w:val="24"/>
          <w:szCs w:val="24"/>
        </w:rPr>
        <w:t xml:space="preserve">Two operational patterns are widely recognised as drivers of delay: reassignment, where a ticket is passed between support groups before reaching one able to resolve it (Shao et al., 2008), and the use or non-use of recorded knowledge. The rise of artificial intelligence for IT operations (AIOps) has created interest in using historical operational data to predict and prevent service problems rather than react to them (Dang et al., 2019). The academic basis for such prediction is predictive process monitoring, which uses event logs to forecast the remaining time or outcome of running cases (van der Aalst, 2016; Tax et al., 2017; Verenich et al., 2019). The dataset used here has previously been used to study attribute selection for completion-time prediction (Amaral et al., 2018a, 2019), but not to test the managerial hypotheses that service delivery managers act on, nor to frame SLA breach as a classification problem at the moment of logging. That gap motivates this study.</w:t>
      </w:r>
    </w:p>
    <w:p>
      <w:pPr>
        <w:pStyle w:val="Heading2"/>
        <w:spacing w:after="0" w:before="0" w:line="480"/>
      </w:pPr>
      <w:r>
        <w:rPr>
          <w:rFonts w:ascii="Times New Roman" w:cs="Times New Roman" w:eastAsia="Times New Roman" w:hAnsi="Times New Roman"/>
          <w:b/>
          <w:bCs/>
          <w:sz w:val="24"/>
          <w:szCs w:val="24"/>
        </w:rPr>
        <w:t xml:space="preserve">Problem Statement</w:t>
      </w:r>
    </w:p>
    <w:p>
      <w:pPr>
        <w:spacing w:after="0" w:before="0" w:line="480"/>
        <w:ind w:firstLine="720"/>
      </w:pPr>
      <w:r>
        <w:rPr>
          <w:rFonts w:ascii="Times New Roman" w:cs="Times New Roman" w:eastAsia="Times New Roman" w:hAnsi="Times New Roman"/>
          <w:sz w:val="24"/>
          <w:szCs w:val="24"/>
        </w:rPr>
        <w:t xml:space="preserve">In enterprise incident management, SLA attainment is monitored after the fact: breaches are counted at month end, and the ticket attributes and process behaviours that preceded them are rarely tested statistically. Service delivery managers therefore make routing and knowledge-management decisions on intuition, and at-risk tickets are escalated only once the SLA clock is nearly exhausted. The problem this study addresses is the absence of evidence on which ticket-level factors are significantly associated with SLA breach, and whether breach risk can be predicted at the point of logging more accurately than by priority alone. The study has a single dependent variable across all four research questions: </w:t>
      </w:r>
      <w:r>
        <w:rPr>
          <w:rFonts w:ascii="Times New Roman" w:cs="Times New Roman" w:eastAsia="Times New Roman" w:hAnsi="Times New Roman"/>
          <w:b/>
          <w:bCs/>
          <w:sz w:val="24"/>
          <w:szCs w:val="24"/>
        </w:rPr>
        <w:t xml:space="preserve">SLA breach</w:t>
      </w:r>
      <w:r>
        <w:rPr>
          <w:rFonts w:ascii="Times New Roman" w:cs="Times New Roman" w:eastAsia="Times New Roman" w:hAnsi="Times New Roman"/>
          <w:sz w:val="24"/>
          <w:szCs w:val="24"/>
        </w:rPr>
        <w:t xml:space="preserve"> (binary, 1 = breached, 0 = met), taken from the event log. The independent variables are </w:t>
      </w: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(four ordinal levels; RQ1), </w:t>
      </w:r>
      <w:r>
        <w:rPr>
          <w:rFonts w:ascii="Times New Roman" w:cs="Times New Roman" w:eastAsia="Times New Roman" w:hAnsi="Times New Roman"/>
          <w:b/>
          <w:bCs/>
          <w:sz w:val="24"/>
          <w:szCs w:val="24"/>
        </w:rPr>
        <w:t xml:space="preserve">reassignment count</w:t>
      </w:r>
      <w:r>
        <w:rPr>
          <w:rFonts w:ascii="Times New Roman" w:cs="Times New Roman" w:eastAsia="Times New Roman" w:hAnsi="Times New Roman"/>
          <w:sz w:val="24"/>
          <w:szCs w:val="24"/>
        </w:rPr>
        <w:t xml:space="preserve"> (integer; RQ2), </w:t>
      </w:r>
      <w:r>
        <w:rPr>
          <w:rFonts w:ascii="Times New Roman" w:cs="Times New Roman" w:eastAsia="Times New Roman" w:hAnsi="Times New Roman"/>
          <w:b/>
          <w:bCs/>
          <w:sz w:val="24"/>
          <w:szCs w:val="24"/>
        </w:rPr>
        <w:t xml:space="preserve">knowledge-base use</w:t>
      </w:r>
      <w:r>
        <w:rPr>
          <w:rFonts w:ascii="Times New Roman" w:cs="Times New Roman" w:eastAsia="Times New Roman" w:hAnsi="Times New Roman"/>
          <w:sz w:val="24"/>
          <w:szCs w:val="24"/>
        </w:rPr>
        <w:t xml:space="preserve"> (binary; RQ3), and the </w:t>
      </w:r>
      <w:r>
        <w:rPr>
          <w:rFonts w:ascii="Times New Roman" w:cs="Times New Roman" w:eastAsia="Times New Roman" w:hAnsi="Times New Roman"/>
          <w:b/>
          <w:bCs/>
          <w:sz w:val="24"/>
          <w:szCs w:val="24"/>
        </w:rPr>
        <w:t xml:space="preserve">attributes recorded at logging</w:t>
      </w:r>
      <w:r>
        <w:rPr>
          <w:rFonts w:ascii="Times New Roman" w:cs="Times New Roman" w:eastAsia="Times New Roman" w:hAnsi="Times New Roman"/>
          <w:sz w:val="24"/>
          <w:szCs w:val="24"/>
        </w:rPr>
        <w:t xml:space="preserve"> (RQ4), with priority and service category used as controls in RQ2 and RQ3. Focusing on one outcome keeps every analysis aligned to the measure that service contracts are judged on.</w:t>
      </w:r>
    </w:p>
    <w:p>
      <w:pPr>
        <w:pStyle w:val="Heading2"/>
        <w:spacing w:after="0" w:before="0" w:line="480"/>
      </w:pPr>
      <w:r>
        <w:rPr>
          <w:rFonts w:ascii="Times New Roman" w:cs="Times New Roman" w:eastAsia="Times New Roman" w:hAnsi="Times New Roman"/>
          <w:b/>
          <w:bCs/>
          <w:sz w:val="24"/>
          <w:szCs w:val="24"/>
        </w:rPr>
        <w:t xml:space="preserve">Purpose of the Study</w:t>
      </w:r>
    </w:p>
    <w:p>
      <w:pPr>
        <w:spacing w:after="0" w:before="0" w:line="480"/>
        <w:ind w:firstLine="720"/>
      </w:pPr>
      <w:r>
        <w:rPr>
          <w:rFonts w:ascii="Times New Roman" w:cs="Times New Roman" w:eastAsia="Times New Roman" w:hAnsi="Times New Roman"/>
          <w:sz w:val="24"/>
          <w:szCs w:val="24"/>
        </w:rPr>
        <w:t xml:space="preserve">This research aims to identify the ticket-level drivers of SLA breach in an enterprise IT incident-management process, and to test whether a model built on attributes available at ticket logging can predict breach risk, in order to support earlier escalation and better assignment decisions in managed-services operations. The study is both explanatory (RQ1 to RQ3, hypothesis tests on drivers) and predictive (RQ4, binary classification). Specifically, it asks whether the breach rate differs by priority (RQ1), whether reassignment is associated with breach (RQ2), whether knowledge-base use is associated with breach (RQ3), and whether an at-logging model predicts breach better than a priority-only rule (RQ4).</w:t>
      </w:r>
    </w:p>
    <w:p>
      <w:pPr>
        <w:pStyle w:val="Heading2"/>
        <w:spacing w:after="0" w:before="0" w:line="480"/>
      </w:pPr>
      <w:r>
        <w:rPr>
          <w:rFonts w:ascii="Times New Roman" w:cs="Times New Roman" w:eastAsia="Times New Roman" w:hAnsi="Times New Roman"/>
          <w:b/>
          <w:bCs/>
          <w:sz w:val="24"/>
          <w:szCs w:val="24"/>
        </w:rPr>
        <w:t xml:space="preserve">Significance of the Study</w:t>
      </w:r>
    </w:p>
    <w:p>
      <w:pPr>
        <w:spacing w:after="0" w:before="0" w:line="480"/>
        <w:ind w:firstLine="720"/>
      </w:pPr>
      <w:r>
        <w:rPr>
          <w:rFonts w:ascii="Times New Roman" w:cs="Times New Roman" w:eastAsia="Times New Roman" w:hAnsi="Times New Roman"/>
          <w:sz w:val="24"/>
          <w:szCs w:val="24"/>
        </w:rPr>
        <w:t xml:space="preserve">For a managed-service provider, SLA attainment is reported to the client every month and shapes renewals, so knowing which ticket-level factors drive breaches lets managers target interventions where they matter rather than across the board. A risk score available when a ticket is logged would move escalation from reactive to proactive, giving resolver groups the full SLA window to act on high-risk tickets. Academically, the study extends predictive process monitoring on this log from completion-time regression to managerially testable hypotheses and to breach classification at logging, evaluated against the simple rule that practitioners already use.</w:t>
      </w:r>
    </w:p>
    <w:p>
      <w:pPr>
        <w:pStyle w:val="Heading1"/>
        <w:spacing w:after="0" w:before="0" w:line="480"/>
        <w:jc w:val="center"/>
      </w:pPr>
      <w:r>
        <w:rPr>
          <w:rFonts w:ascii="Times New Roman" w:cs="Times New Roman" w:eastAsia="Times New Roman" w:hAnsi="Times New Roman"/>
          <w:b/>
          <w:bCs/>
          <w:sz w:val="24"/>
          <w:szCs w:val="24"/>
        </w:rPr>
        <w:t xml:space="preserve">Scope and Objectives</w:t>
      </w:r>
    </w:p>
    <w:p>
      <w:pPr>
        <w:spacing w:after="0" w:before="0" w:line="480"/>
        <w:ind w:firstLine="720"/>
      </w:pPr>
      <w:r>
        <w:rPr>
          <w:rFonts w:ascii="Times New Roman" w:cs="Times New Roman" w:eastAsia="Times New Roman" w:hAnsi="Times New Roman"/>
          <w:sz w:val="24"/>
          <w:szCs w:val="24"/>
        </w:rPr>
        <w:t xml:space="preserve">The study uses a single, publicly available event log extracted from the ServiceNow audit system of a real IT company (Amaral et al., 2018b). The unit of analysis is the incident: the 141,712 events are collapsed to 24,918 incidents so that each incident contributes one observation. The objectives are to (a) quantify how the SLA breach rate differs across priority levels, (b) estimate the association between reassignment and SLA breach, (c) estimate the association between knowledge-base use and SLA breach, and (d) build and evaluate a breach-prediction model that uses only information available at logging.</w:t>
      </w:r>
    </w:p>
    <w:p>
      <w:pPr>
        <w:spacing w:after="0" w:before="0" w:line="480"/>
        <w:ind w:firstLine="720"/>
      </w:pPr>
      <w:r>
        <w:rPr>
          <w:rFonts w:ascii="Times New Roman" w:cs="Times New Roman" w:eastAsia="Times New Roman" w:hAnsi="Times New Roman"/>
          <w:b/>
          <w:bCs/>
          <w:sz w:val="24"/>
          <w:szCs w:val="24"/>
        </w:rPr>
        <w:t xml:space="preserve">Boundaries.</w:t>
      </w:r>
      <w:r>
        <w:rPr>
          <w:rFonts w:ascii="Times New Roman" w:cs="Times New Roman" w:eastAsia="Times New Roman" w:hAnsi="Times New Roman"/>
          <w:sz w:val="24"/>
          <w:szCs w:val="24"/>
        </w:rPr>
        <w:t xml:space="preserve"> In scope are the four research questions, descriptive profiling, and a validated prototype model, all on this dataset. Out of scope are the design of SLA targets (which are not recorded), staffing or roster optimisation, causal claims about interventions, real-time deployment into a ticketing system, and text analytics (the log has no free-text fields). Resolution time is used only to describe the data, not as an outcome, which keeps the analysis focused on one dependent variable. This keeps the scope broad enough to combine three inferential analyses with a comparative machine-learning study, but feasible on one dataset of 24,918 incidents in 10 weeks with open-source tools. To protect validity, RQ4 excludes variables that accumulate during the ticket lifecycle, such as reassignment count, reopen count, and update count, because they are not known at logging and would leak future information into the prediction.</w:t>
      </w:r>
    </w:p>
    <w:p>
      <w:pPr>
        <w:pStyle w:val="Heading2"/>
        <w:spacing w:after="0" w:before="0" w:line="480"/>
      </w:pPr>
      <w:r>
        <w:rPr>
          <w:rFonts w:ascii="Times New Roman" w:cs="Times New Roman" w:eastAsia="Times New Roman" w:hAnsi="Times New Roman"/>
          <w:b/>
          <w:bCs/>
          <w:sz w:val="24"/>
          <w:szCs w:val="24"/>
        </w:rPr>
        <w:t xml:space="preserve">Research Questions and Hypotheses</w:t>
      </w:r>
    </w:p>
    <w:p>
      <w:pPr>
        <w:spacing w:after="0" w:before="0" w:line="480"/>
        <w:ind w:firstLine="720"/>
      </w:pPr>
      <w:r>
        <w:rPr>
          <w:rFonts w:ascii="Times New Roman" w:cs="Times New Roman" w:eastAsia="Times New Roman" w:hAnsi="Times New Roman"/>
          <w:sz w:val="24"/>
          <w:szCs w:val="24"/>
        </w:rPr>
        <w:t xml:space="preserve">The four research questions are facets of the single business problem of SLA attainment and are all answered from the same incident-level dataset. Each is paired with a null (H0) and an alternative (H1) hypothesis, tested at α = 0.05, and Table 1 summarises the dependent variable, independent variables, and primary test for each. All four share the same dependent variable, SLA breach.</w:t>
      </w:r>
    </w:p>
    <w:p>
      <w:pPr>
        <w:pStyle w:val="Heading3"/>
        <w:spacing w:after="0" w:before="0" w:line="480"/>
      </w:pPr>
      <w:r>
        <w:rPr>
          <w:rFonts w:ascii="Times New Roman" w:cs="Times New Roman" w:eastAsia="Times New Roman" w:hAnsi="Times New Roman"/>
          <w:b/>
          <w:bCs/>
          <w:i/>
          <w:iCs/>
          <w:sz w:val="24"/>
          <w:szCs w:val="24"/>
        </w:rPr>
        <w:t xml:space="preserve">Research Question 1 (RQ1)</w:t>
      </w:r>
    </w:p>
    <w:p>
      <w:pPr>
        <w:spacing w:after="0" w:before="0" w:line="480"/>
      </w:pPr>
      <w:r>
        <w:rPr>
          <w:rFonts w:ascii="Times New Roman" w:cs="Times New Roman" w:eastAsia="Times New Roman" w:hAnsi="Times New Roman"/>
          <w:i/>
          <w:iCs/>
          <w:sz w:val="24"/>
          <w:szCs w:val="24"/>
        </w:rPr>
        <w:t xml:space="preserve">Does the SLA breach rate differ significantly across the four priority levels?</w:t>
      </w:r>
    </w:p>
    <w:p>
      <w:pPr>
        <w:spacing w:after="0" w:before="0" w:line="480"/>
      </w:pPr>
      <w:r>
        <w:rPr>
          <w:rFonts w:ascii="Times New Roman" w:cs="Times New Roman" w:eastAsia="Times New Roman" w:hAnsi="Times New Roman"/>
          <w:sz w:val="24"/>
          <w:szCs w:val="24"/>
        </w:rPr>
        <w:t xml:space="preserve">H0₁: SLA breach is independent of priority; the breach rate is the same for priority levels 1 (Critical) to 4 (Low).</w:t>
      </w:r>
    </w:p>
    <w:p>
      <w:pPr>
        <w:spacing w:after="0" w:before="0" w:line="480"/>
      </w:pPr>
      <w:r>
        <w:rPr>
          <w:rFonts w:ascii="Times New Roman" w:cs="Times New Roman" w:eastAsia="Times New Roman" w:hAnsi="Times New Roman"/>
          <w:sz w:val="24"/>
          <w:szCs w:val="24"/>
        </w:rPr>
        <w:t xml:space="preserve">H1₁: SLA breach is associated with priority; the breach rate differs for at least one priority level.</w:t>
      </w:r>
    </w:p>
    <w:p>
      <w:pPr>
        <w:pStyle w:val="Heading3"/>
        <w:spacing w:after="0" w:before="0" w:line="480"/>
      </w:pPr>
      <w:r>
        <w:rPr>
          <w:rFonts w:ascii="Times New Roman" w:cs="Times New Roman" w:eastAsia="Times New Roman" w:hAnsi="Times New Roman"/>
          <w:b/>
          <w:bCs/>
          <w:i/>
          <w:iCs/>
          <w:sz w:val="24"/>
          <w:szCs w:val="24"/>
        </w:rPr>
        <w:t xml:space="preserve">Research Question 2 (RQ2)</w:t>
      </w:r>
    </w:p>
    <w:p>
      <w:pPr>
        <w:spacing w:after="0" w:before="0" w:line="480"/>
      </w:pPr>
      <w:r>
        <w:rPr>
          <w:rFonts w:ascii="Times New Roman" w:cs="Times New Roman" w:eastAsia="Times New Roman" w:hAnsi="Times New Roman"/>
          <w:i/>
          <w:iCs/>
          <w:sz w:val="24"/>
          <w:szCs w:val="24"/>
        </w:rPr>
        <w:t xml:space="preserve">Is the number of reassignments associated with the likelihood of SLA breach, after controlling for priority and service category?</w:t>
      </w:r>
    </w:p>
    <w:p>
      <w:pPr>
        <w:spacing w:after="0" w:before="0" w:line="480"/>
      </w:pPr>
      <w:r>
        <w:rPr>
          <w:rFonts w:ascii="Times New Roman" w:cs="Times New Roman" w:eastAsia="Times New Roman" w:hAnsi="Times New Roman"/>
          <w:sz w:val="24"/>
          <w:szCs w:val="24"/>
        </w:rPr>
        <w:t xml:space="preserve">H0₂: Reassignment is not associated with SLA breach (odds ratio for reassignment count = 1; β₁ = 0).</w:t>
      </w:r>
    </w:p>
    <w:p>
      <w:pPr>
        <w:spacing w:after="0" w:before="0" w:line="480"/>
      </w:pPr>
      <w:r>
        <w:rPr>
          <w:rFonts w:ascii="Times New Roman" w:cs="Times New Roman" w:eastAsia="Times New Roman" w:hAnsi="Times New Roman"/>
          <w:sz w:val="24"/>
          <w:szCs w:val="24"/>
        </w:rPr>
        <w:t xml:space="preserve">H1₂: Reassignment is associated with SLA breach (odds ratio ≠ 1; β₁ ≠ 0).</w:t>
      </w:r>
    </w:p>
    <w:p>
      <w:pPr>
        <w:pStyle w:val="Heading3"/>
        <w:spacing w:after="0" w:before="0" w:line="480"/>
      </w:pPr>
      <w:r>
        <w:rPr>
          <w:rFonts w:ascii="Times New Roman" w:cs="Times New Roman" w:eastAsia="Times New Roman" w:hAnsi="Times New Roman"/>
          <w:b/>
          <w:bCs/>
          <w:i/>
          <w:iCs/>
          <w:sz w:val="24"/>
          <w:szCs w:val="24"/>
        </w:rPr>
        <w:t xml:space="preserve">Research Question 3 (RQ3)</w:t>
      </w:r>
    </w:p>
    <w:p>
      <w:pPr>
        <w:spacing w:after="0" w:before="0" w:line="480"/>
      </w:pPr>
      <w:r>
        <w:rPr>
          <w:rFonts w:ascii="Times New Roman" w:cs="Times New Roman" w:eastAsia="Times New Roman" w:hAnsi="Times New Roman"/>
          <w:i/>
          <w:iCs/>
          <w:sz w:val="24"/>
          <w:szCs w:val="24"/>
        </w:rPr>
        <w:t xml:space="preserve">Is knowledge-base use associated with the likelihood of SLA breach, after controlling for priority and service category?</w:t>
      </w:r>
    </w:p>
    <w:p>
      <w:pPr>
        <w:spacing w:after="0" w:before="0" w:line="480"/>
      </w:pPr>
      <w:r>
        <w:rPr>
          <w:rFonts w:ascii="Times New Roman" w:cs="Times New Roman" w:eastAsia="Times New Roman" w:hAnsi="Times New Roman"/>
          <w:sz w:val="24"/>
          <w:szCs w:val="24"/>
        </w:rPr>
        <w:t xml:space="preserve">H0₃: Knowledge-base use is not associated with SLA breach (odds ratio for knowledge use = 1; β₁ = 0).</w:t>
      </w:r>
    </w:p>
    <w:p>
      <w:pPr>
        <w:spacing w:after="0" w:before="0" w:line="480"/>
      </w:pPr>
      <w:r>
        <w:rPr>
          <w:rFonts w:ascii="Times New Roman" w:cs="Times New Roman" w:eastAsia="Times New Roman" w:hAnsi="Times New Roman"/>
          <w:sz w:val="24"/>
          <w:szCs w:val="24"/>
        </w:rPr>
        <w:t xml:space="preserve">H1₃: Knowledge-base use is associated with SLA breach (odds ratio ≠ 1; β₁ ≠ 0).</w:t>
      </w:r>
    </w:p>
    <w:p>
      <w:pPr>
        <w:pStyle w:val="Heading3"/>
        <w:spacing w:after="0" w:before="0" w:line="480"/>
      </w:pPr>
      <w:r>
        <w:rPr>
          <w:rFonts w:ascii="Times New Roman" w:cs="Times New Roman" w:eastAsia="Times New Roman" w:hAnsi="Times New Roman"/>
          <w:b/>
          <w:bCs/>
          <w:i/>
          <w:iCs/>
          <w:sz w:val="24"/>
          <w:szCs w:val="24"/>
        </w:rPr>
        <w:t xml:space="preserve">Research Question 4 (RQ4)</w:t>
      </w:r>
    </w:p>
    <w:p>
      <w:pPr>
        <w:spacing w:after="0" w:before="0" w:line="480"/>
      </w:pPr>
      <w:r>
        <w:rPr>
          <w:rFonts w:ascii="Times New Roman" w:cs="Times New Roman" w:eastAsia="Times New Roman" w:hAnsi="Times New Roman"/>
          <w:i/>
          <w:iCs/>
          <w:sz w:val="24"/>
          <w:szCs w:val="24"/>
        </w:rPr>
        <w:t xml:space="preserve">Can a machine-learning classifier using only attributes available at ticket logging predict SLA breach with a significantly higher area under the ROC curve (AUC) than a priority-only baseline model?</w:t>
      </w:r>
    </w:p>
    <w:p>
      <w:pPr>
        <w:spacing w:after="0" w:before="0" w:line="480"/>
      </w:pPr>
      <w:r>
        <w:rPr>
          <w:rFonts w:ascii="Times New Roman" w:cs="Times New Roman" w:eastAsia="Times New Roman" w:hAnsi="Times New Roman"/>
          <w:sz w:val="24"/>
          <w:szCs w:val="24"/>
        </w:rPr>
        <w:t xml:space="preserve">H0₄: AUC of the best machine-learning model = AUC of the priority-only logistic regression baseline.</w:t>
      </w:r>
    </w:p>
    <w:p>
      <w:pPr>
        <w:spacing w:after="0" w:before="0" w:line="480"/>
      </w:pPr>
      <w:r>
        <w:rPr>
          <w:rFonts w:ascii="Times New Roman" w:cs="Times New Roman" w:eastAsia="Times New Roman" w:hAnsi="Times New Roman"/>
          <w:sz w:val="24"/>
          <w:szCs w:val="24"/>
        </w:rPr>
        <w:t xml:space="preserve">H1₄: AUC of the best machine-learning model &gt; AUC of the priority-only baseline.</w:t>
      </w:r>
    </w:p>
    <w:p>
      <w:pPr>
        <w:keepNext/>
        <w:spacing w:after="0" w:before="240" w:line="480"/>
      </w:pPr>
      <w:r>
        <w:rPr>
          <w:rFonts w:ascii="Times New Roman" w:cs="Times New Roman" w:eastAsia="Times New Roman" w:hAnsi="Times New Roman"/>
          <w:b/>
          <w:bCs/>
          <w:sz w:val="24"/>
          <w:szCs w:val="24"/>
        </w:rPr>
        <w:t xml:space="preserve">Table 1</w:t>
      </w:r>
    </w:p>
    <w:p>
      <w:pPr>
        <w:keepNext/>
        <w:spacing w:after="0" w:before="0" w:line="480"/>
      </w:pPr>
      <w:r>
        <w:rPr>
          <w:rFonts w:ascii="Times New Roman" w:cs="Times New Roman" w:eastAsia="Times New Roman" w:hAnsi="Times New Roman"/>
          <w:i/>
          <w:iCs/>
          <w:sz w:val="24"/>
          <w:szCs w:val="24"/>
        </w:rPr>
        <w:t xml:space="preserve">Research Questions, Variables, and Primary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60"/>
        <w:gridCol w:w="37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RQ</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Dependent variable</w:t>
            </w:r>
          </w:p>
        </w:tc>
        <w:tc>
          <w:tcPr>
            <w:tcW w:type="dxa" w:w="28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Independent variable(s)</w:t>
            </w:r>
          </w:p>
        </w:tc>
        <w:tc>
          <w:tcPr>
            <w:tcW w:type="dxa" w:w="3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Primary test / model</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SLA breach (0/1)</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Priority (4 levels)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test of independence (4 × 2); pairwise χ² tests with Holm correction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SLA breach (0/1)</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Reassignment count; controls: priority, category</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test of independence; multivariable logistic regression (Wald test)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SLA breach (0/1)</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Knowledge-base used (0/1); controls: priority, category</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test of independence; multivariable logistic regression (Wald test)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SLA breach (0/1)</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At-logging attributes only (Table 6)</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Logistic regression, random forest, XGBoost; DeLong test on AUC</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SLA = service level agreement; AUC = area under the receiver operating characteristic curve.</w:t>
      </w:r>
    </w:p>
    <w:p>
      <w:pPr>
        <w:pStyle w:val="Heading1"/>
        <w:spacing w:after="0" w:before="0" w:line="480"/>
        <w:jc w:val="center"/>
      </w:pPr>
      <w:r>
        <w:rPr>
          <w:rFonts w:ascii="Times New Roman" w:cs="Times New Roman" w:eastAsia="Times New Roman" w:hAnsi="Times New Roman"/>
          <w:b/>
          <w:bCs/>
          <w:sz w:val="24"/>
          <w:szCs w:val="24"/>
        </w:rPr>
        <w:t xml:space="preserve">Sample Size Calculation</w:t>
      </w:r>
    </w:p>
    <w:p>
      <w:pPr>
        <w:spacing w:after="0" w:before="0" w:line="480"/>
        <w:ind w:firstLine="720"/>
      </w:pPr>
      <w:r>
        <w:rPr>
          <w:rFonts w:ascii="Times New Roman" w:cs="Times New Roman" w:eastAsia="Times New Roman" w:hAnsi="Times New Roman"/>
          <w:sz w:val="24"/>
          <w:szCs w:val="24"/>
        </w:rPr>
        <w:t xml:space="preserve">Sample sizes were calculated a priori for each research question, choosing for each the method that matches its planned analysis (Table 2). All calculations use α = 0.05 (two-tailed) and power (1 − β) = 0.80, so that the true effect must lie 2.8 standard errors from the null value (1.96 + 0.84; Gelman &amp; Hill, 2007). Effect sizes are Cohen's (2013) "small" conventions, so the study is powered for modest but operationally meaningful effects. Three parameters were taken from the data rather than assumed: the overlap of reassignment (RQ2) and knowledge-base use (RQ3) with the control variables, and the breach prevalence (RQ4). Calculations follow G*Power procedures (Faul et al., 2007) and were reproduced in Python (Appendix A). Table 3 shows each calculation step by step.</w:t>
      </w:r>
    </w:p>
    <w:p>
      <w:pPr>
        <w:keepNext/>
        <w:spacing w:after="0" w:before="240" w:line="480"/>
      </w:pPr>
      <w:r>
        <w:rPr>
          <w:rFonts w:ascii="Times New Roman" w:cs="Times New Roman" w:eastAsia="Times New Roman" w:hAnsi="Times New Roman"/>
          <w:b/>
          <w:bCs/>
          <w:sz w:val="24"/>
          <w:szCs w:val="24"/>
        </w:rPr>
        <w:t xml:space="preserve">Table 2</w:t>
      </w:r>
    </w:p>
    <w:p>
      <w:pPr>
        <w:keepNext/>
        <w:spacing w:after="0" w:before="0" w:line="480"/>
      </w:pPr>
      <w:r>
        <w:rPr>
          <w:rFonts w:ascii="Times New Roman" w:cs="Times New Roman" w:eastAsia="Times New Roman" w:hAnsi="Times New Roman"/>
          <w:i/>
          <w:iCs/>
          <w:sz w:val="24"/>
          <w:szCs w:val="24"/>
        </w:rPr>
        <w:t xml:space="preserve">Sample Size Method, Justification, and Parameters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460"/>
        <w:gridCol w:w="33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RQ</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Method</w:t>
            </w:r>
          </w:p>
        </w:tc>
        <w:tc>
          <w:tcPr>
            <w:tcW w:type="dxa" w:w="34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Justification (alignment with analysis)</w:t>
            </w:r>
          </w:p>
        </w:tc>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Parameters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Power analysis: χ² test of independence (noncentral χ²)</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 tests whether a binary outcome (breach) is independent of a 4-level factor (priority), which is a 4 × 2 contingency table with df = (4 − 1)(2 − 1) = 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α = 0.05; power = 0.80; w = 0.10 (small); df = 3</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Power analysis: χ² test of independence (noncentral χ²), with covariate adjustment</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H0₂ is first tested on a 2 × 2 table (reassigned × breached); the logistic model adds covariates, so the requirement is inflated by 1 / (1 − R²) of reassignment on those covariates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α = 0.05; power = 0.80; w = 0.10 (small); df = 1; R² = 0.047 (observed)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Power analysis: χ² test of independence (noncentral χ²), with covariate adjustment</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H0₃ is first tested on a 2 × 2 table (knowledge used × breached); the logistic model adds priority and category, so the requirement is inflated by 1 / (1 − R²) of knowledge use on those covariates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α = 0.05; power = 0.80; w = 0.10 (small); df = 1; R² = 0.154 (observed)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Confidence-interval method: precision of AUC (Hanley &amp; McNeil, 1982)</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compares AUCs; DeLong's test depends on the standard error of each AUC on the test set, so the test set is sized to estimate AUC within ±0.03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AUC = 0.75; 95% CI half-width e = 0.03; prevalence p = 0.366 (observed); 30% hold-out</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Effect-size conventions from Cohen (2013). Observed values are from the incident-level data (see Table 7).</w:t>
      </w:r>
    </w:p>
    <w:p>
      <w:pPr>
        <w:keepNext/>
        <w:spacing w:after="0" w:before="240" w:line="480"/>
      </w:pPr>
      <w:r>
        <w:rPr>
          <w:rFonts w:ascii="Times New Roman" w:cs="Times New Roman" w:eastAsia="Times New Roman" w:hAnsi="Times New Roman"/>
          <w:b/>
          <w:bCs/>
          <w:sz w:val="24"/>
          <w:szCs w:val="24"/>
        </w:rPr>
        <w:t xml:space="preserve">Table 3</w:t>
      </w:r>
    </w:p>
    <w:p>
      <w:pPr>
        <w:keepNext/>
        <w:spacing w:after="0" w:before="0" w:line="480"/>
      </w:pPr>
      <w:r>
        <w:rPr>
          <w:rFonts w:ascii="Times New Roman" w:cs="Times New Roman" w:eastAsia="Times New Roman" w:hAnsi="Times New Roman"/>
          <w:i/>
          <w:iCs/>
          <w:sz w:val="24"/>
          <w:szCs w:val="24"/>
        </w:rPr>
        <w:t xml:space="preserve">Stepwise Sample Size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3500"/>
        <w:gridCol w:w="146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RQ</w:t>
            </w:r>
          </w:p>
        </w:tc>
        <w:tc>
          <w:tcPr>
            <w:tcW w:type="dxa" w:w="3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Step and formula</w:t>
            </w:r>
          </w:p>
        </w:tc>
        <w:tc>
          <w:tcPr>
            <w:tcW w:type="dxa" w:w="3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Substitution</w:t>
            </w:r>
          </w:p>
        </w:tc>
        <w:tc>
          <w:tcPr>
            <w:tcW w:type="dxa" w:w="14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Result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Noncentrality needed for df = 3, α = 0.05, power = 0.80</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λ from the noncentral χ² distribution, df = 3</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λ = 10.903</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 N</w:t>
            </w:r>
            <w:r>
              <w:rPr>
                <w:rFonts w:ascii="Times New Roman" w:cs="Times New Roman" w:eastAsia="Times New Roman" w:hAnsi="Times New Roman"/>
                <w:sz w:val="20"/>
                <w:szCs w:val="20"/>
                <w:vertAlign w:val="subscript"/>
              </w:rPr>
              <w:t xml:space="preserve">χ²</w:t>
            </w:r>
            <w:r>
              <w:rPr>
                <w:rFonts w:ascii="Times New Roman" w:cs="Times New Roman" w:eastAsia="Times New Roman" w:hAnsi="Times New Roman"/>
                <w:sz w:val="20"/>
                <w:szCs w:val="20"/>
              </w:rPr>
              <w:t xml:space="preserve"> = λ / w²</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10.903 / 0.10² = 1,090.3</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1,091</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Noncentrality needed for df = 1, α = 0.05, power = 0.80</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λ = (1.960 + 0.842)²</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λ = 7.849</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 N</w:t>
            </w:r>
            <w:r>
              <w:rPr>
                <w:rFonts w:ascii="Times New Roman" w:cs="Times New Roman" w:eastAsia="Times New Roman" w:hAnsi="Times New Roman"/>
                <w:sz w:val="20"/>
                <w:szCs w:val="20"/>
                <w:vertAlign w:val="subscript"/>
              </w:rPr>
              <w:t xml:space="preserve">χ²</w:t>
            </w:r>
            <w:r>
              <w:rPr>
                <w:rFonts w:ascii="Times New Roman" w:cs="Times New Roman" w:eastAsia="Times New Roman" w:hAnsi="Times New Roman"/>
                <w:sz w:val="20"/>
                <w:szCs w:val="20"/>
              </w:rPr>
              <w:t xml:space="preserve"> = λ / w²</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7.849 / 0.10² = 784.9</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785</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 N</w:t>
            </w:r>
            <w:r>
              <w:rPr>
                <w:rFonts w:ascii="Times New Roman" w:cs="Times New Roman" w:eastAsia="Times New Roman" w:hAnsi="Times New Roman"/>
                <w:sz w:val="20"/>
                <w:szCs w:val="20"/>
                <w:vertAlign w:val="subscript"/>
              </w:rPr>
              <w:t xml:space="preserve">adj</w:t>
            </w:r>
            <w:r>
              <w:rPr>
                <w:rFonts w:ascii="Times New Roman" w:cs="Times New Roman" w:eastAsia="Times New Roman" w:hAnsi="Times New Roman"/>
                <w:sz w:val="20"/>
                <w:szCs w:val="20"/>
              </w:rPr>
              <w:t xml:space="preserve"> = N</w:t>
            </w:r>
            <w:r>
              <w:rPr>
                <w:rFonts w:ascii="Times New Roman" w:cs="Times New Roman" w:eastAsia="Times New Roman" w:hAnsi="Times New Roman"/>
                <w:sz w:val="20"/>
                <w:szCs w:val="20"/>
                <w:vertAlign w:val="subscript"/>
              </w:rPr>
              <w:t xml:space="preserve">χ²</w:t>
            </w:r>
            <w:r>
              <w:rPr>
                <w:rFonts w:ascii="Times New Roman" w:cs="Times New Roman" w:eastAsia="Times New Roman" w:hAnsi="Times New Roman"/>
                <w:sz w:val="20"/>
                <w:szCs w:val="20"/>
              </w:rPr>
              <w:t xml:space="preserve"> / (1 − R²)</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785 / (1 − 0.047) = 823.7</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824</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Noncentrality needed for df = 1, α = 0.05, power = 0.80</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λ = (1.960 + 0.842)²</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λ = 7.849</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 N</w:t>
            </w:r>
            <w:r>
              <w:rPr>
                <w:rFonts w:ascii="Times New Roman" w:cs="Times New Roman" w:eastAsia="Times New Roman" w:hAnsi="Times New Roman"/>
                <w:sz w:val="20"/>
                <w:szCs w:val="20"/>
                <w:vertAlign w:val="subscript"/>
              </w:rPr>
              <w:t xml:space="preserve">χ²</w:t>
            </w:r>
            <w:r>
              <w:rPr>
                <w:rFonts w:ascii="Times New Roman" w:cs="Times New Roman" w:eastAsia="Times New Roman" w:hAnsi="Times New Roman"/>
                <w:sz w:val="20"/>
                <w:szCs w:val="20"/>
              </w:rPr>
              <w:t xml:space="preserve"> = λ / w²</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7.849 / 0.10² = 784.9</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785</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 N</w:t>
            </w:r>
            <w:r>
              <w:rPr>
                <w:rFonts w:ascii="Times New Roman" w:cs="Times New Roman" w:eastAsia="Times New Roman" w:hAnsi="Times New Roman"/>
                <w:sz w:val="20"/>
                <w:szCs w:val="20"/>
                <w:vertAlign w:val="subscript"/>
              </w:rPr>
              <w:t xml:space="preserve">adj</w:t>
            </w:r>
            <w:r>
              <w:rPr>
                <w:rFonts w:ascii="Times New Roman" w:cs="Times New Roman" w:eastAsia="Times New Roman" w:hAnsi="Times New Roman"/>
                <w:sz w:val="20"/>
                <w:szCs w:val="20"/>
              </w:rPr>
              <w:t xml:space="preserve"> = N</w:t>
            </w:r>
            <w:r>
              <w:rPr>
                <w:rFonts w:ascii="Times New Roman" w:cs="Times New Roman" w:eastAsia="Times New Roman" w:hAnsi="Times New Roman"/>
                <w:sz w:val="20"/>
                <w:szCs w:val="20"/>
                <w:vertAlign w:val="subscript"/>
              </w:rPr>
              <w:t xml:space="preserve">χ²</w:t>
            </w:r>
            <w:r>
              <w:rPr>
                <w:rFonts w:ascii="Times New Roman" w:cs="Times New Roman" w:eastAsia="Times New Roman" w:hAnsi="Times New Roman"/>
                <w:sz w:val="20"/>
                <w:szCs w:val="20"/>
              </w:rPr>
              <w:t xml:space="preserve"> / (1 − R²)</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785 / (1 − 0.154) = 927.9</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928</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Q₁ = A / (2 − A); Q₂ = 2A² / (1 + A)</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0.75 / 1.25; 2(0.5625) / 1.75</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Q₁ = 0.600; Q₂ = 0.643</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 SE² = [A(1 − A) + (n</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− 1)(Q₁ − A²) + (n</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− 1)(Q₂ − A²)] / (n</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n</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smallest test set with 1.96 × SE ≤ 0.03</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w:t>
            </w:r>
            <w:r>
              <w:rPr>
                <w:rFonts w:ascii="Times New Roman" w:cs="Times New Roman" w:eastAsia="Times New Roman" w:hAnsi="Times New Roman"/>
                <w:sz w:val="20"/>
                <w:szCs w:val="20"/>
                <w:vertAlign w:val="subscript"/>
              </w:rPr>
              <w:t xml:space="preserve">test</w:t>
            </w:r>
            <w:r>
              <w:rPr>
                <w:rFonts w:ascii="Times New Roman" w:cs="Times New Roman" w:eastAsia="Times New Roman" w:hAnsi="Times New Roman"/>
                <w:sz w:val="20"/>
                <w:szCs w:val="20"/>
              </w:rPr>
              <w:t xml:space="preserve"> = 1,191: n</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 436 breaches, n</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755; SE² = 77.089 / 329,180 = 0.000234; SE = 0.0153</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1.96 × 0.0153 = 0.0300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 N</w:t>
            </w:r>
            <w:r>
              <w:rPr>
                <w:rFonts w:ascii="Times New Roman" w:cs="Times New Roman" w:eastAsia="Times New Roman" w:hAnsi="Times New Roman"/>
                <w:sz w:val="20"/>
                <w:szCs w:val="20"/>
                <w:vertAlign w:val="subscript"/>
              </w:rPr>
              <w:t xml:space="preserve">total</w:t>
            </w:r>
            <w:r>
              <w:rPr>
                <w:rFonts w:ascii="Times New Roman" w:cs="Times New Roman" w:eastAsia="Times New Roman" w:hAnsi="Times New Roman"/>
                <w:sz w:val="20"/>
                <w:szCs w:val="20"/>
              </w:rPr>
              <w:t xml:space="preserve"> = n</w:t>
            </w:r>
            <w:r>
              <w:rPr>
                <w:rFonts w:ascii="Times New Roman" w:cs="Times New Roman" w:eastAsia="Times New Roman" w:hAnsi="Times New Roman"/>
                <w:sz w:val="20"/>
                <w:szCs w:val="20"/>
                <w:vertAlign w:val="subscript"/>
              </w:rPr>
              <w:t xml:space="preserve">test</w:t>
            </w:r>
            <w:r>
              <w:rPr>
                <w:rFonts w:ascii="Times New Roman" w:cs="Times New Roman" w:eastAsia="Times New Roman" w:hAnsi="Times New Roman"/>
                <w:sz w:val="20"/>
                <w:szCs w:val="20"/>
              </w:rPr>
              <w:t xml:space="preserve"> / 0.30</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1,191 / 0.30</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3,970</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λ = noncentrality parameter; R² = share of the variance in the independent variable explained by priority and category; A = assumed AUC; n</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and n</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breached and non-breached incidents in the test set. Results are rounded up to the next whole incident. AUC variance formula for RQ4 from Hanley and McNeil (1982).</w:t>
      </w:r>
    </w:p>
    <w:p>
      <w:pPr>
        <w:spacing w:after="0" w:before="0" w:line="480"/>
        <w:ind w:firstLine="720"/>
      </w:pPr>
      <w:r>
        <w:rPr>
          <w:rFonts w:ascii="Times New Roman" w:cs="Times New Roman" w:eastAsia="Times New Roman" w:hAnsi="Times New Roman"/>
          <w:sz w:val="24"/>
          <w:szCs w:val="24"/>
        </w:rPr>
        <w:t xml:space="preserve">Two refinements check that the calculations fit the analyses. For RQ1, the priority groups are unequal (270 Critical, 408 High, 23,466 Moderate, and 774 Low incidents), but Cohen's w already reflects the marginal proportions, and the smallest expected cell count in the 4 × 2 table is 98.8, well above the minimum of 5 that the χ² test requires. For RQ4, the hypothesis compares two AUCs scored on the same incidents; with each AUC estimated to SE = 0.0153 and an assumed correlation of 0.5 between the two models' scores, the standard error of the difference is √(2 × 0.0153² × 0.5) = 0.0153, so a difference of 2.8 × 0.0153 = 0.043 in AUC is detectable with 80% power.</w:t>
      </w:r>
    </w:p>
    <w:p>
      <w:pPr>
        <w:spacing w:after="0" w:before="0" w:line="480"/>
        <w:ind w:firstLine="720"/>
      </w:pPr>
      <w:r>
        <w:rPr>
          <w:rFonts w:ascii="Times New Roman" w:cs="Times New Roman" w:eastAsia="Times New Roman" w:hAnsi="Times New Roman"/>
          <w:sz w:val="24"/>
          <w:szCs w:val="24"/>
        </w:rPr>
        <w:t xml:space="preserve">The assumptions are consistent across the four questions: every calculation uses α = 0.05, 80% power or 95% confidence, and Cohen's small-effect conventions, and the data-derived inputs (R² = 0.047 and 0.154, and prevalence 0.366) come from the same incident-level file used in the analysis. The confidence-interval method is used for RQ4 rather than a classical power formula because DeLong's statistic is built from the standard errors of the two AUCs, so controlling those standard errors controls the test; using a two-sided 95% interval is conservative relative to the one-sided alternative H1₄. For the multivariable logistic models in RQ2 and RQ3, Green's (1991) rule of N ≥ 50 + 8m with m = 10 predictors gives N ≥ 130, below the 824 and 928 required, so the χ²-based calculations are binding. Table 4 summarises the method, key parameters, and minimum sample size for each research question.</w:t>
      </w:r>
    </w:p>
    <w:p>
      <w:pPr>
        <w:keepNext/>
        <w:spacing w:after="0" w:before="240" w:line="480"/>
      </w:pPr>
      <w:r>
        <w:rPr>
          <w:rFonts w:ascii="Times New Roman" w:cs="Times New Roman" w:eastAsia="Times New Roman" w:hAnsi="Times New Roman"/>
          <w:b/>
          <w:bCs/>
          <w:sz w:val="24"/>
          <w:szCs w:val="24"/>
        </w:rPr>
        <w:t xml:space="preserve">Table 4</w:t>
      </w:r>
    </w:p>
    <w:p>
      <w:pPr>
        <w:keepNext/>
        <w:spacing w:after="0" w:before="0" w:line="480"/>
      </w:pPr>
      <w:r>
        <w:rPr>
          <w:rFonts w:ascii="Times New Roman" w:cs="Times New Roman" w:eastAsia="Times New Roman" w:hAnsi="Times New Roman"/>
          <w:i/>
          <w:iCs/>
          <w:sz w:val="24"/>
          <w:szCs w:val="24"/>
        </w:rPr>
        <w:t xml:space="preserve">Sample Size Summary and Final Sample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460"/>
        <w:gridCol w:w="19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Research Question</w:t>
            </w:r>
          </w:p>
        </w:tc>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Method Used</w:t>
            </w:r>
          </w:p>
        </w:tc>
        <w:tc>
          <w:tcPr>
            <w:tcW w:type="dxa" w:w="34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Key Parameters</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Minimum Sample Size (N)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Power (χ² test of independence, 4 × 2)</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α = 0.05, Power = 0.80, Effect size w = 0.10, df = 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1,091</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Power (χ² test of independence, covariate-adjusted)</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α = 0.05, Power = 0.80, Effect size w = 0.10, df = 1, R² = 0.047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824</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Power (χ² test of independence, covariate-adjusted)</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α = 0.05, Power = 0.80, Effect size w = 0.10, df = 1, R² = 0.154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928</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Confidence interval (AUC precision; Hanley &amp; McNeil, 1982)</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Z = 1.96 (95% CI), e = 0.03, AUC = 0.75, p = 0.366, 30% hold-out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3,970</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Final 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Maximum of RQ1–RQ4 minimums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Available: 24,918 incidents (6.3 × final 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3,970</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Available N is 24,918 for all four research questions, because every incident has a recorded SLA outcome.</w:t>
      </w:r>
    </w:p>
    <w:p>
      <w:pPr>
        <w:spacing w:after="0" w:before="0" w:line="480"/>
        <w:ind w:firstLine="720"/>
      </w:pPr>
      <w:r>
        <w:rPr>
          <w:rFonts w:ascii="Times New Roman" w:cs="Times New Roman" w:eastAsia="Times New Roman" w:hAnsi="Times New Roman"/>
          <w:b/>
          <w:bCs/>
          <w:sz w:val="24"/>
          <w:szCs w:val="24"/>
        </w:rPr>
        <w:t xml:space="preserve">Final sample size decision.</w:t>
      </w:r>
      <w:r>
        <w:rPr>
          <w:rFonts w:ascii="Times New Roman" w:cs="Times New Roman" w:eastAsia="Times New Roman" w:hAnsi="Times New Roman"/>
          <w:sz w:val="24"/>
          <w:szCs w:val="24"/>
        </w:rPr>
        <w:t xml:space="preserve"> Following the rule that the final sample size is the maximum of the minimum sample sizes across research questions, </w:t>
      </w:r>
      <w:r>
        <w:rPr>
          <w:rFonts w:ascii="Times New Roman" w:cs="Times New Roman" w:eastAsia="Times New Roman" w:hAnsi="Times New Roman"/>
          <w:b/>
          <w:bCs/>
          <w:sz w:val="24"/>
          <w:szCs w:val="24"/>
        </w:rPr>
        <w:t xml:space="preserve">N = max(1,091; 824; 928; 3,970) = 3,970 incidents</w:t>
      </w:r>
      <w:r>
        <w:rPr>
          <w:rFonts w:ascii="Times New Roman" w:cs="Times New Roman" w:eastAsia="Times New Roman" w:hAnsi="Times New Roman"/>
          <w:sz w:val="24"/>
          <w:szCs w:val="24"/>
        </w:rPr>
        <w:t xml:space="preserve">, driven by RQ4. Because the dataset contains 24,918 incidents, 6.3 times this requirement, the study will use all available incidents rather than a sample. This exceeds every minimum, gives higher power than required for RQ1 to RQ3, and leaves a temporal test set of about 7,475 incidents for RQ4, 6.3 times the 1,191 required.</w:t>
      </w:r>
    </w:p>
    <w:p>
      <w:pPr>
        <w:pStyle w:val="Heading1"/>
        <w:spacing w:after="0" w:before="0" w:line="480"/>
        <w:jc w:val="center"/>
      </w:pPr>
      <w:r>
        <w:rPr>
          <w:rFonts w:ascii="Times New Roman" w:cs="Times New Roman" w:eastAsia="Times New Roman" w:hAnsi="Times New Roman"/>
          <w:b/>
          <w:bCs/>
          <w:sz w:val="24"/>
          <w:szCs w:val="24"/>
        </w:rPr>
        <w:t xml:space="preserve">Data Description</w:t>
      </w:r>
    </w:p>
    <w:p>
      <w:pPr>
        <w:pStyle w:val="Heading2"/>
        <w:spacing w:after="0" w:before="0" w:line="480"/>
      </w:pPr>
      <w:r>
        <w:rPr>
          <w:rFonts w:ascii="Times New Roman" w:cs="Times New Roman" w:eastAsia="Times New Roman" w:hAnsi="Times New Roman"/>
          <w:b/>
          <w:bCs/>
          <w:sz w:val="24"/>
          <w:szCs w:val="24"/>
        </w:rPr>
        <w:t xml:space="preserve">Source and Access</w:t>
      </w:r>
    </w:p>
    <w:p>
      <w:pPr>
        <w:spacing w:after="0" w:before="0" w:line="480"/>
        <w:ind w:firstLine="720"/>
      </w:pPr>
      <w:r>
        <w:rPr>
          <w:rFonts w:ascii="Times New Roman" w:cs="Times New Roman" w:eastAsia="Times New Roman" w:hAnsi="Times New Roman"/>
          <w:sz w:val="24"/>
          <w:szCs w:val="24"/>
        </w:rPr>
        <w:t xml:space="preserve">The data is the Incident Management Process Enriched Event Log, donated to the University of California, Irvine (UCI) Machine Learning Repository by Amaral et al. (2018b) and available at https://archive.ics.uci.edu/dataset/498/incident+management+process+enriched+event+log (DOI 10.24432/C57S4H). It was extracted from the audit system of a ServiceNow instance used by an IT company and enriched with data from the platform's relational database. It is real operational data: it is not synthetic and is not sourced from Kaggle. The complete data and code are published in the public GitHub repository https://github.com/binesh29/QM640_data_analytics_capstone, organised as shown in Figure 1. The README states the data source and licence and gives the commands to install the requirements and run the notebooks.</w:t>
      </w:r>
    </w:p>
    <w:p>
      <w:pPr>
        <w:keepNext/>
        <w:spacing w:after="0" w:before="240" w:line="480"/>
      </w:pPr>
      <w:r>
        <w:rPr>
          <w:rFonts w:ascii="Times New Roman" w:cs="Times New Roman" w:eastAsia="Times New Roman" w:hAnsi="Times New Roman"/>
          <w:b/>
          <w:bCs/>
          <w:sz w:val="24"/>
          <w:szCs w:val="24"/>
        </w:rPr>
        <w:t xml:space="preserve">Figure 1</w:t>
      </w:r>
    </w:p>
    <w:p>
      <w:pPr>
        <w:keepNext/>
        <w:spacing w:after="0" w:before="0" w:line="480"/>
      </w:pPr>
      <w:r>
        <w:rPr>
          <w:rFonts w:ascii="Times New Roman" w:cs="Times New Roman" w:eastAsia="Times New Roman" w:hAnsi="Times New Roman"/>
          <w:i/>
          <w:iCs/>
          <w:sz w:val="24"/>
          <w:szCs w:val="24"/>
        </w:rPr>
        <w:t xml:space="preserve">Structure of the GitHub Repository</w:t>
      </w:r>
    </w:p>
    <w:p>
      <w:pPr>
        <w:spacing w:after="120" w:before="120"/>
        <w:jc w:val="center"/>
      </w:pPr>
      <w:r>
        <w:drawing>
          <wp:inline distT="0" distB="0" distL="0" distR="0">
            <wp:extent cx="54864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152650"/>
                    </a:xfrm>
                    <a:prstGeom prst="rect">
                      <a:avLst/>
                    </a:prstGeom>
                  </pic:spPr>
                </pic:pic>
              </a:graphicData>
            </a:graphic>
          </wp:inline>
        </w:drawing>
      </w:r>
    </w:p>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Notebooks 02 to 05 (one per research question) will be added after the synopsis is approved.</w:t>
      </w:r>
    </w:p>
    <w:p>
      <w:pPr>
        <w:pStyle w:val="Heading2"/>
        <w:spacing w:after="0" w:before="0" w:line="480"/>
      </w:pPr>
      <w:r>
        <w:rPr>
          <w:rFonts w:ascii="Times New Roman" w:cs="Times New Roman" w:eastAsia="Times New Roman" w:hAnsi="Times New Roman"/>
          <w:b/>
          <w:bCs/>
          <w:sz w:val="24"/>
          <w:szCs w:val="24"/>
        </w:rPr>
        <w:t xml:space="preserve">Data Ethics, Privacy, and Bias</w:t>
      </w:r>
    </w:p>
    <w:p>
      <w:pPr>
        <w:spacing w:after="0" w:before="0" w:line="480"/>
        <w:ind w:firstLine="720"/>
      </w:pPr>
      <w:r>
        <w:rPr>
          <w:rFonts w:ascii="Times New Roman" w:cs="Times New Roman" w:eastAsia="Times New Roman" w:hAnsi="Times New Roman"/>
          <w:sz w:val="24"/>
          <w:szCs w:val="24"/>
        </w:rPr>
        <w:t xml:space="preserve">The dataset is released under a Creative Commons Attribution 4.0 International (CC BY 4.0) licence, which permits reuse and redistribution with attribution. Personal and organisational identifiers such as caller, analyst, location, and support group are replaced by the donors with anonymised labels (for example, Caller 2403 or Group 56); the study involves no human participants and makes no attempt to re-identify individuals, and analyst-level identifiers are not used as predictors so that the model cannot be used to rate individual staff. Four sources of bias are addressed for the single outcome, SLA breach. Selection bias: only closed incidents from one organisation are included, so findings are framed as evidence from one enterprise rather than general laws. Temporal bias: 98.1% of incidents fall in March to May 2016, so the RQ4 split is time-ordered to avoid optimistic estimates. Label bias: the made_sla flag reflects targets that are not recorded, so breach is analysed as defined by the organisation. Class imbalance: breaches are 36.6% of incidents and Critical and High priorities only 2.7%, so AUC, recall, and class weighting are used rather than accuracy alone.</w:t>
      </w:r>
    </w:p>
    <w:p>
      <w:pPr>
        <w:pStyle w:val="Heading2"/>
        <w:spacing w:after="0" w:before="0" w:line="480"/>
      </w:pPr>
      <w:r>
        <w:rPr>
          <w:rFonts w:ascii="Times New Roman" w:cs="Times New Roman" w:eastAsia="Times New Roman" w:hAnsi="Times New Roman"/>
          <w:b/>
          <w:bCs/>
          <w:sz w:val="24"/>
          <w:szCs w:val="24"/>
        </w:rPr>
        <w:t xml:space="preserve">Structure of the Data</w:t>
      </w:r>
    </w:p>
    <w:p>
      <w:pPr>
        <w:spacing w:after="0" w:before="0" w:line="480"/>
        <w:ind w:firstLine="720"/>
      </w:pPr>
      <w:r>
        <w:rPr>
          <w:rFonts w:ascii="Times New Roman" w:cs="Times New Roman" w:eastAsia="Times New Roman" w:hAnsi="Times New Roman"/>
          <w:sz w:val="24"/>
          <w:szCs w:val="24"/>
        </w:rPr>
        <w:t xml:space="preserve">The raw file is a single comma-separated table of 141,712 rows and 36 columns in which each row is an event, that is, the state of an incident after an update (Figure 2). Loading the file confirmed 24,918 distinct incidents, an average of 5.7 events per incident, and missing values coded as a question mark. The incident_state variable takes eight named levels plus an anomalous value of -100 on 5 rows, and every incident ends in the Closed state. Incidents were opened between 29 February 2016 and 16 February 2017, with 98.1% (24,437) opened between March and May 2016. Table 5 defines every source and derived variable.</w:t>
      </w:r>
    </w:p>
    <w:p>
      <w:pPr>
        <w:keepNext/>
        <w:spacing w:after="0" w:before="240" w:line="480"/>
      </w:pPr>
      <w:r>
        <w:rPr>
          <w:rFonts w:ascii="Times New Roman" w:cs="Times New Roman" w:eastAsia="Times New Roman" w:hAnsi="Times New Roman"/>
          <w:b/>
          <w:bCs/>
          <w:sz w:val="24"/>
          <w:szCs w:val="24"/>
        </w:rPr>
        <w:t xml:space="preserve">Figure 2</w:t>
      </w:r>
    </w:p>
    <w:p>
      <w:pPr>
        <w:keepNext/>
        <w:spacing w:after="0" w:before="0" w:line="480"/>
      </w:pPr>
      <w:r>
        <w:rPr>
          <w:rFonts w:ascii="Times New Roman" w:cs="Times New Roman" w:eastAsia="Times New Roman" w:hAnsi="Times New Roman"/>
          <w:i/>
          <w:iCs/>
          <w:sz w:val="24"/>
          <w:szCs w:val="24"/>
        </w:rPr>
        <w:t xml:space="preserve">Extract of the Raw Event Log (First Six Events, Eight of 36 Columns)</w:t>
      </w:r>
    </w:p>
    <w:p>
      <w:pPr>
        <w:spacing w:after="120" w:before="120"/>
        <w:jc w:val="center"/>
      </w:pPr>
      <w:r>
        <w:drawing>
          <wp:inline distT="0" distB="0" distL="0" distR="0">
            <wp:extent cx="59436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314450"/>
                    </a:xfrm>
                    <a:prstGeom prst="rect">
                      <a:avLst/>
                    </a:prstGeom>
                  </pic:spPr>
                </pic:pic>
              </a:graphicData>
            </a:graphic>
          </wp:inline>
        </w:drawing>
      </w:r>
    </w:p>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Each incident (number) appears on several rows as it moves through states; the analysis keeps one row per incident. From </w:t>
      </w:r>
      <w:r>
        <w:rPr>
          <w:rFonts w:ascii="Times New Roman" w:cs="Times New Roman" w:eastAsia="Times New Roman" w:hAnsi="Times New Roman"/>
          <w:i/>
          <w:iCs/>
          <w:sz w:val="20"/>
          <w:szCs w:val="20"/>
        </w:rPr>
        <w:t xml:space="preserve">Incident Management Process Enriched Event Log</w:t>
      </w:r>
      <w:r>
        <w:rPr>
          <w:rFonts w:ascii="Times New Roman" w:cs="Times New Roman" w:eastAsia="Times New Roman" w:hAnsi="Times New Roman"/>
          <w:sz w:val="20"/>
          <w:szCs w:val="20"/>
        </w:rPr>
        <w:t xml:space="preserve"> [Data set], by C. Amaral, M. Fantinato, and S. Peres, 2018, UCI Machine Learning Repository (https://doi.org/10.24432/C57S4H). CC BY 4.0.</w:t>
      </w:r>
    </w:p>
    <w:p>
      <w:pPr>
        <w:keepNext/>
        <w:spacing w:after="0" w:before="240" w:line="480"/>
      </w:pPr>
      <w:r>
        <w:rPr>
          <w:rFonts w:ascii="Times New Roman" w:cs="Times New Roman" w:eastAsia="Times New Roman" w:hAnsi="Times New Roman"/>
          <w:b/>
          <w:bCs/>
          <w:sz w:val="24"/>
          <w:szCs w:val="24"/>
        </w:rPr>
        <w:t xml:space="preserve">Table 5</w:t>
      </w:r>
    </w:p>
    <w:p>
      <w:pPr>
        <w:keepNext/>
        <w:spacing w:after="0" w:before="0" w:line="480"/>
      </w:pPr>
      <w:r>
        <w:rPr>
          <w:rFonts w:ascii="Times New Roman" w:cs="Times New Roman" w:eastAsia="Times New Roman" w:hAnsi="Times New Roman"/>
          <w:i/>
          <w:iCs/>
          <w:sz w:val="24"/>
          <w:szCs w:val="24"/>
        </w:rPr>
        <w:t xml:space="preserve">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1500"/>
        <w:gridCol w:w="2550"/>
        <w:gridCol w:w="2160"/>
      </w:tblGrid>
      <w:tr>
        <w:trPr>
          <w:cantSplit/>
          <w:tblHeader/>
        </w:trPr>
        <w:tc>
          <w:tcPr>
            <w:tcW w:type="dxa" w:w="19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Variable</w:t>
            </w:r>
          </w:p>
        </w:tc>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Type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Units / levels</w:t>
            </w:r>
          </w:p>
        </w:tc>
        <w:tc>
          <w:tcPr>
            <w:tcW w:type="dxa" w:w="25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Definition (UCI metadata)</w:t>
            </w:r>
          </w:p>
        </w:tc>
        <w:tc>
          <w:tcPr>
            <w:tcW w:type="dxa" w:w="21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Role in study</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number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Text code (24,918)</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Incident identifier</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Unit-of-analysis key</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incident_state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8 levels + "-100"</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State of the incident at that event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Select final record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active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true / false</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the record is active or closed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Data check</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reassignment_count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Count, 0–27</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Times the support group or analyst changed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IV (RQ2); excluded from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reopen_count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Count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Times the caller rejected the resolution</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 excluded from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sys_mod_count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Count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Number of updates to that moment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Event ordering; excluded from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made_sla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true = SLA met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the incident met its SLA target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Source of the DV (all RQs)</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caller_id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 (5,244)</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Affected user</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 frequency-encoded)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opened_by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User who reported the incident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opened_at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dd/mm/yyyy hh:mm</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Incident opening time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Start time; hour/day features; split order</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sys_created_by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User who registered the incident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sys_created_at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dd/mm/yyyy hh:mm</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System creation time (37.5% missing)</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Data check</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sys_updated_by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User who made the update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sys_updated_at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dd/mm/yyyy hh:mm</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System update time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Event ordering</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contact_type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5 levels (99.1% phone)</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Reporting channel</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location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 (224)</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Affected location</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 encoded)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58 levels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First-level affected service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Control (RQ2, RQ3); 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subcategory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254 levels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Second-level affected service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u_symptom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525 levels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User perception of availability</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cmdb_ci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 (99.7% missing)</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Affected configuration item</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Missingness flag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impact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Ordinal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High, 2 Medium, 3 Low</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Impact of the incident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urgency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Ordinal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High, 2 Medium, 3 Low</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Urgency stated by the user</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priority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Ordinal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Critical – 4 Low</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Calculated from impact and urgency</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IV (RQ1); control (RQ2, RQ3); baseline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assignment_group</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 (78)</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Support group in charge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 initial group)</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assigned_to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Analyst in charge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 (privacy)</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knowledge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true / false</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a knowledge-base document was used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IV (RQ3); RQ4 sensitivity only</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u_priority_confirmation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true / false</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priority was double-checked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notify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 levels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notifications were generated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problem_id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 (98.4% missing)</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Associated problem record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rfc</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 (99.3% missing)</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Associated change request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vendor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 (99.8% missing)</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Vendor in charge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caused_by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 (≈100% missing)</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Change that caused the incident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closed_code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17 levels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Resolution code (close_code in UCI metadata)</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resolved_by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User who resolved the incident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 (privacy)</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resolved_at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dd/mm/yyyy hh:mm</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 of user resolution</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 (resolution_hours)</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closed_at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dd/mm/yyyy hh:mm</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 of closure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resolution_hours</w:t>
            </w:r>
            <w:r>
              <w:rPr>
                <w:rFonts w:ascii="Times New Roman" w:cs="Times New Roman" w:eastAsia="Times New Roman" w:hAnsi="Times New Roman"/>
                <w:sz w:val="20"/>
                <w:szCs w:val="20"/>
              </w:rPr>
              <w:t xml:space="preserve"> (derived)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Continuous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Hours, &gt; 0</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resolved_at − opened_at, final record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 only (not an outcome)</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sla_breach</w:t>
            </w:r>
            <w:r>
              <w:rPr>
                <w:rFonts w:ascii="Times New Roman" w:cs="Times New Roman" w:eastAsia="Times New Roman" w:hAnsi="Times New Roman"/>
                <w:sz w:val="20"/>
                <w:szCs w:val="20"/>
              </w:rPr>
              <w:t xml:space="preserve"> (derived)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 breached, 0 = met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if made_sla is false on final record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DV (RQ1–RQ4)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reassigned</w:t>
            </w:r>
            <w:r>
              <w:rPr>
                <w:rFonts w:ascii="Times New Roman" w:cs="Times New Roman" w:eastAsia="Times New Roman" w:hAnsi="Times New Roman"/>
                <w:sz w:val="20"/>
                <w:szCs w:val="20"/>
              </w:rPr>
              <w:t xml:space="preserve"> (derived)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 ≥ 1 reassignment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if reassignment_count ≥ 1</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IV (RQ2 χ² test)</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log_hour</w:t>
            </w:r>
            <w:r>
              <w:rPr>
                <w:rFonts w:ascii="Times New Roman" w:cs="Times New Roman" w:eastAsia="Times New Roman" w:hAnsi="Times New Roman"/>
                <w:sz w:val="20"/>
                <w:szCs w:val="20"/>
              </w:rPr>
              <w:t xml:space="preserve"> (derived)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Hour, 0–23</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Hour of opened_at, first record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w:t>
            </w:r>
          </w:p>
        </w:tc>
      </w:tr>
      <w:tr>
        <w:trPr>
          <w:cantSplit/>
          <w:tblHeader w:val="false"/>
        </w:trP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log_dayofweek</w:t>
            </w:r>
            <w:r>
              <w:rPr>
                <w:rFonts w:ascii="Times New Roman" w:cs="Times New Roman" w:eastAsia="Times New Roman" w:hAnsi="Times New Roman"/>
                <w:sz w:val="20"/>
                <w:szCs w:val="20"/>
              </w:rPr>
              <w:t xml:space="preserve"> (derived)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 = Monday – 6 = Sunday</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Weekday of opened_at, first record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 (RQ4)</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IV = independent variable; DV = dependent variable. Adapted from </w:t>
      </w:r>
      <w:r>
        <w:rPr>
          <w:rFonts w:ascii="Times New Roman" w:cs="Times New Roman" w:eastAsia="Times New Roman" w:hAnsi="Times New Roman"/>
          <w:i/>
          <w:iCs/>
          <w:sz w:val="20"/>
          <w:szCs w:val="20"/>
        </w:rPr>
        <w:t xml:space="preserve">Incident Management Process Enriched Event Log</w:t>
      </w:r>
      <w:r>
        <w:rPr>
          <w:rFonts w:ascii="Times New Roman" w:cs="Times New Roman" w:eastAsia="Times New Roman" w:hAnsi="Times New Roman"/>
          <w:sz w:val="20"/>
          <w:szCs w:val="20"/>
        </w:rPr>
        <w:t xml:space="preserve"> [Data set], by C. Amaral, M. Fantinato, and S. Peres, 2018, UCI Machine Learning Repository (https://doi.org/10.24432/C57S4H). CC BY 4.0. Missing percentages are at event level. The UCI description of made_sla is ambiguous; the data confirms that true means the SLA was met (median resolution 1.1 hours when true, 201.7 hours when false). The derived features log_hour and log_dayofweek, listed in the draft synopsis as hour and day features of opened_at, are now defined separately.</w:t>
      </w:r>
    </w:p>
    <w:p>
      <w:pPr>
        <w:pStyle w:val="Heading2"/>
        <w:spacing w:after="0" w:before="0" w:line="480"/>
      </w:pPr>
      <w:r>
        <w:rPr>
          <w:rFonts w:ascii="Times New Roman" w:cs="Times New Roman" w:eastAsia="Times New Roman" w:hAnsi="Times New Roman"/>
          <w:b/>
          <w:bCs/>
          <w:sz w:val="24"/>
          <w:szCs w:val="24"/>
        </w:rPr>
        <w:t xml:space="preserve">Study Variables and Measurement</w:t>
      </w:r>
    </w:p>
    <w:p>
      <w:pPr>
        <w:spacing w:after="0" w:before="0" w:line="480"/>
        <w:ind w:firstLine="720"/>
      </w:pPr>
      <w:r>
        <w:rPr>
          <w:rFonts w:ascii="Times New Roman" w:cs="Times New Roman" w:eastAsia="Times New Roman" w:hAnsi="Times New Roman"/>
          <w:sz w:val="24"/>
          <w:szCs w:val="24"/>
        </w:rPr>
        <w:t xml:space="preserve">Table 6 defines the variables that enter the analysis, with each variable's role, type, and unit of measurement. All of them are recorded in the event log or derived directly from it, so each is measured objectively for every one of the 24,918 incidents with no manual coding. Attributes are taken from the final record for RQ1 to RQ3, which test associations with the observed outcome, and from the first record for RQ4, which must use only what is known when the ticket is logged; priority changed after logging for 368 incidents (1.5%), so the two versions are kept as separate variables.</w:t>
      </w:r>
    </w:p>
    <w:p>
      <w:pPr>
        <w:keepNext/>
        <w:spacing w:after="0" w:before="240" w:line="480"/>
      </w:pPr>
      <w:r>
        <w:rPr>
          <w:rFonts w:ascii="Times New Roman" w:cs="Times New Roman" w:eastAsia="Times New Roman" w:hAnsi="Times New Roman"/>
          <w:b/>
          <w:bCs/>
          <w:sz w:val="24"/>
          <w:szCs w:val="24"/>
        </w:rPr>
        <w:t xml:space="preserve">Table 6</w:t>
      </w:r>
    </w:p>
    <w:p>
      <w:pPr>
        <w:keepNext/>
        <w:spacing w:after="0" w:before="0" w:line="480"/>
      </w:pPr>
      <w:r>
        <w:rPr>
          <w:rFonts w:ascii="Times New Roman" w:cs="Times New Roman" w:eastAsia="Times New Roman" w:hAnsi="Times New Roman"/>
          <w:i/>
          <w:iCs/>
          <w:sz w:val="24"/>
          <w:szCs w:val="24"/>
        </w:rPr>
        <w:t xml:space="preserve">Study Variables: Role, Type, and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700"/>
        <w:gridCol w:w="1500"/>
        <w:gridCol w:w="2810"/>
        <w:gridCol w:w="1300"/>
      </w:tblGrid>
      <w:tr>
        <w:trPr>
          <w:cantSplit/>
          <w:tblHeader/>
        </w:trPr>
        <w:tc>
          <w:tcPr>
            <w:tcW w:type="dxa" w:w="20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Variable</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Role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Type</w:t>
            </w:r>
          </w:p>
        </w:tc>
        <w:tc>
          <w:tcPr>
            <w:tcW w:type="dxa" w:w="281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Measurement and units</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Used in</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sla_breach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Dependent variable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 (nominal)</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 breached, 0 = met; NOT made_sla on the final record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RQ1–RQ4</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priority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Independent variable; control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Ordinal, 4 levels</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Critical, 2 High, 3 Moderate, 4 Low (final record)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 control in RQ2–RQ3</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reassignment_count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Independent variable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Discrete count</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Number of reassignments, 0–27 (final record)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 (logistic regression)</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reassigned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Independent variable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 at least one reassignment, 0 = none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 (χ² test)</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knowledge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Independent variable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 knowledge-base article used, 0 = not used (final record)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 RQ4 sensitivity model</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Control variable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Nominal, 58 levels</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Service category label; rare levels grouped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 RQ3; RQ4 predictor</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log_priority, log_impact, log_urgency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Predictors; log_priority is the baseline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Ordinal, 3–4 levels</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Levels as recorded at logging (first record)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log_subcategory, log_u_symptom, log_contact_type, log_location, log_assignment_group, log_caller_id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Nominal (high cardinality)</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Labels at logging; frequency-encoded, rare levels grouped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log_u_priority_confirmation, log_notify, cmdb_ci missing flag</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 0 at logging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log_hour, log_dayofweek</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Predictors (derived)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Discrete</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Hour 0–23 and weekday 0–6 of opened_at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resolution_hours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 only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Continuous (ratio)</w:t>
            </w:r>
          </w:p>
        </w:tc>
        <w:tc>
          <w:tcPr>
            <w:tcW w:type="dxa" w:w="2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Hours from opened_at to resolved_at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Data profile</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Variables with the prefix log_ are taken from the first event record of each incident. Reassignment, reopen, and update counts are excluded from RQ4 because they accumulate after logging.</w:t>
      </w:r>
    </w:p>
    <w:p>
      <w:pPr>
        <w:pStyle w:val="Heading2"/>
        <w:spacing w:after="0" w:before="0" w:line="480"/>
      </w:pPr>
      <w:r>
        <w:rPr>
          <w:rFonts w:ascii="Times New Roman" w:cs="Times New Roman" w:eastAsia="Times New Roman" w:hAnsi="Times New Roman"/>
          <w:b/>
          <w:bCs/>
          <w:sz w:val="24"/>
          <w:szCs w:val="24"/>
        </w:rPr>
        <w:t xml:space="preserve">Data Preparation and Preliminary Profile</w:t>
      </w:r>
    </w:p>
    <w:p>
      <w:pPr>
        <w:spacing w:after="0" w:before="0" w:line="480"/>
        <w:ind w:firstLine="720"/>
      </w:pPr>
      <w:r>
        <w:rPr>
          <w:rFonts w:ascii="Times New Roman" w:cs="Times New Roman" w:eastAsia="Times New Roman" w:hAnsi="Times New Roman"/>
          <w:sz w:val="24"/>
          <w:szCs w:val="24"/>
        </w:rPr>
        <w:t xml:space="preserve">Preparation follows five steps, implemented in the notebook 01_data_preparation.ipynb: (1) convert the missing-value code and parse timestamps; (2) sort events by incident and update count, and keep the first record (attributes known at logging, used for RQ4) and the final record (outcome and accumulated counts, used for RQ1 to RQ3); (3) derive the outcome sla_breach for all 24,918 incidents, plus resolution time for description only (1,556 incidents have no resolution timestamp and 39 have zero duration, which does not affect the outcome); (4) frequency-encode high-cardinality identifiers and group rare categories; and (5) profile missingness, outliers, and class balance.</w:t>
      </w:r>
    </w:p>
    <w:p>
      <w:pPr>
        <w:spacing w:after="0" w:before="0" w:line="480"/>
        <w:ind w:firstLine="720"/>
      </w:pPr>
      <w:r>
        <w:rPr>
          <w:rFonts w:ascii="Times New Roman" w:cs="Times New Roman" w:eastAsia="Times New Roman" w:hAnsi="Times New Roman"/>
          <w:sz w:val="24"/>
          <w:szCs w:val="24"/>
        </w:rPr>
        <w:t xml:space="preserve">The first descriptive pass (Table 7) shows that 9,115 of 24,918 incidents (36.6%) breached their SLA and that 94.2% are Moderate priority. Breach rates differ sharply by priority: Critical and High incidents breach almost always (98.1% and 99.5%), against 35.5% for Moderate and 15.9% for Low. Incidents reassigned at least once breached 54.4% of the time, against 21.6% for those never reassigned, and incidents that used a knowledge article breached 73.2% of the time, against 30.5% for those that did not. Knowledge use is most common for Low-priority incidents (30.2%), so the RQ3 association must be adjusted for priority. These are unadjusted descriptions, not hypothesis tests.</w:t>
      </w:r>
    </w:p>
    <w:p>
      <w:pPr>
        <w:keepNext/>
        <w:spacing w:after="0" w:before="240" w:line="480"/>
      </w:pPr>
      <w:r>
        <w:rPr>
          <w:rFonts w:ascii="Times New Roman" w:cs="Times New Roman" w:eastAsia="Times New Roman" w:hAnsi="Times New Roman"/>
          <w:b/>
          <w:bCs/>
          <w:sz w:val="24"/>
          <w:szCs w:val="24"/>
        </w:rPr>
        <w:t xml:space="preserve">Table 7</w:t>
      </w:r>
    </w:p>
    <w:p>
      <w:pPr>
        <w:keepNext/>
        <w:spacing w:after="0" w:before="0" w:line="480"/>
      </w:pPr>
      <w:r>
        <w:rPr>
          <w:rFonts w:ascii="Times New Roman" w:cs="Times New Roman" w:eastAsia="Times New Roman" w:hAnsi="Times New Roman"/>
          <w:i/>
          <w:iCs/>
          <w:sz w:val="24"/>
          <w:szCs w:val="24"/>
        </w:rPr>
        <w:t xml:space="preserve">Incident-Level Profile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400"/>
        <w:gridCol w:w="1500"/>
        <w:gridCol w:w="1680"/>
        <w:gridCol w:w="158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Priority (final record)</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Incidents</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Share of incidents</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SLA breach rate</w:t>
            </w:r>
          </w:p>
        </w:tc>
        <w:tc>
          <w:tcPr>
            <w:tcW w:type="dxa" w:w="16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Reassigned at least once</w:t>
            </w:r>
          </w:p>
        </w:tc>
        <w:tc>
          <w:tcPr>
            <w:tcW w:type="dxa" w:w="15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Knowledge base used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 Critical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270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98.1%</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58.5%</w:t>
            </w:r>
          </w:p>
        </w:tc>
        <w:tc>
          <w:tcPr>
            <w:tcW w:type="dxa" w:w="1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12.2%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 – 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408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99.5%</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62.5%</w:t>
            </w:r>
          </w:p>
        </w:tc>
        <w:tc>
          <w:tcPr>
            <w:tcW w:type="dxa" w:w="1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19.4%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 – Moderate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23,466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94.2%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35.5%</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45.4%</w:t>
            </w:r>
          </w:p>
        </w:tc>
        <w:tc>
          <w:tcPr>
            <w:tcW w:type="dxa" w:w="1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13.7%</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4 – Low</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774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15.9%</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37.9%</w:t>
            </w:r>
          </w:p>
        </w:tc>
        <w:tc>
          <w:tcPr>
            <w:tcW w:type="dxa" w:w="1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30.2%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All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24,918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36.6%</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45.6%</w:t>
            </w:r>
          </w:p>
        </w:tc>
        <w:tc>
          <w:tcPr>
            <w:tcW w:type="dxa" w:w="1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14.3%</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Computed from the incident-level file (final record per incident). Data from Amaral et al. (2018b).</w:t>
      </w:r>
    </w:p>
    <w:p>
      <w:pPr>
        <w:pStyle w:val="Heading1"/>
        <w:spacing w:after="0" w:before="0" w:line="480"/>
        <w:jc w:val="center"/>
      </w:pPr>
      <w:r>
        <w:rPr>
          <w:rFonts w:ascii="Times New Roman" w:cs="Times New Roman" w:eastAsia="Times New Roman" w:hAnsi="Times New Roman"/>
          <w:b/>
          <w:bCs/>
          <w:sz w:val="24"/>
          <w:szCs w:val="24"/>
        </w:rPr>
        <w:t xml:space="preserve">Analytic Approach</w:t>
      </w:r>
    </w:p>
    <w:p>
      <w:pPr>
        <w:spacing w:after="0" w:before="0" w:line="480"/>
        <w:ind w:firstLine="720"/>
      </w:pPr>
      <w:r>
        <w:rPr>
          <w:rFonts w:ascii="Times New Roman" w:cs="Times New Roman" w:eastAsia="Times New Roman" w:hAnsi="Times New Roman"/>
          <w:sz w:val="24"/>
          <w:szCs w:val="24"/>
        </w:rPr>
        <w:t xml:space="preserve">The analysis moves from description to inference to prediction. RQ1 to RQ3 use hypothesis tests with effect sizes, so that statistical significance, which is easy to reach with 24,918 observations, is always reported with practical magnitude. RQ4 uses supervised machine learning on a time-ordered hold-out set. Table 8 summarises each research question's method, justification, assumptions, and outputs; the subsections that follow give the solution to each research question with its evaluation metrics, formulae, and worked calculations. The worked numbers are illustrations of how each metric is computed, not results.</w:t>
      </w:r>
    </w:p>
    <w:p>
      <w:pPr>
        <w:keepNext/>
        <w:spacing w:after="0" w:before="240" w:line="480"/>
      </w:pPr>
      <w:r>
        <w:rPr>
          <w:rFonts w:ascii="Times New Roman" w:cs="Times New Roman" w:eastAsia="Times New Roman" w:hAnsi="Times New Roman"/>
          <w:b/>
          <w:bCs/>
          <w:sz w:val="24"/>
          <w:szCs w:val="24"/>
        </w:rPr>
        <w:t xml:space="preserve">Table 8</w:t>
      </w:r>
    </w:p>
    <w:p>
      <w:pPr>
        <w:keepNext/>
        <w:spacing w:after="0" w:before="0" w:line="480"/>
      </w:pPr>
      <w:r>
        <w:rPr>
          <w:rFonts w:ascii="Times New Roman" w:cs="Times New Roman" w:eastAsia="Times New Roman" w:hAnsi="Times New Roman"/>
          <w:i/>
          <w:iCs/>
          <w:sz w:val="24"/>
          <w:szCs w:val="24"/>
        </w:rPr>
        <w:t xml:space="preserve">Mapping of Research Questions to Analytic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200"/>
        <w:gridCol w:w="2460"/>
        <w:gridCol w:w="2200"/>
      </w:tblGrid>
      <w:tr>
        <w:trPr>
          <w:cantSplit/>
          <w:tblHeader/>
        </w:trPr>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RQ</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Method</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Justification</w:t>
            </w:r>
          </w:p>
        </w:tc>
        <w:tc>
          <w:tcPr>
            <w:tcW w:type="dxa" w:w="24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Assumptions and checks</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Outputs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test of independence on the 4 × 2 priority-by-breach table; pairwise 2 × 2 χ² tests with Holm correction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 outcome against a four-level categorical factor</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Independent observations (one row per incident); all expected cell counts ≥ 5 (minimum 98.8); standardised residuals show which cells drive the result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p-value, Cramér's V, breach rate per priority with 95% CIs, adjusted pairwise p-values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test of independence; multivariable logistic regression with Wald test on β₁</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 outcome; count predictor; need to adjust for priority and category</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All expected cell counts ≥ 5; linearity in the logit (checked by refitting reassignment as 0, 1, 2, 3+); variance inflation factor &lt; 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φ; adjusted odds ratio with 95% CI; McFadden pseudo-R²</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test of independence; multivariable logistic regression with Wald test on β₁; Mantel–Haenszel odds ratio across priority strata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 outcome and binary predictor; knowledge use is confounded with priority and category, so adjustment is required</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All expected cell counts ≥ 5; variance inflation factor &lt; 5; consistency of the odds ratio across priority strata checked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φ; unadjusted and adjusted odds ratios with 95% CIs; McFadden pseudo-R²</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Priority-only logistic regression (baseline); regularised logistic regression; random forest (Breiman, 2001); XGBoost (Chen &amp; Guestrin, 2016); DeLong test (DeLong et al., 1988)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Mixed and high-cardinality features with possible non-linear interactions; logistic regression gives an interpretable benchmark</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Only at-logging features (no leakage); time-ordered 70/30 split (cut on 2 May 2016); 5-fold cross-validation for tuning; class weighting for 36.6% prevalence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AUC with 95% CI, DeLong p-value, precision, recall, F1, Brier score, permutation feature importance</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CI = confidence interval. Knowledge-base use is excluded from the main RQ4 model and added only in a sensitivity model.</w:t>
      </w:r>
    </w:p>
    <w:p>
      <w:pPr>
        <w:pStyle w:val="Heading2"/>
        <w:spacing w:after="0" w:before="0" w:line="480"/>
      </w:pPr>
      <w:r>
        <w:rPr>
          <w:rFonts w:ascii="Times New Roman" w:cs="Times New Roman" w:eastAsia="Times New Roman" w:hAnsi="Times New Roman"/>
          <w:b/>
          <w:bCs/>
          <w:sz w:val="24"/>
          <w:szCs w:val="24"/>
        </w:rPr>
        <w:t xml:space="preserve">Solution to RQ1: Priority and SLA Breach</w:t>
      </w:r>
    </w:p>
    <w:p>
      <w:pPr>
        <w:spacing w:after="0" w:before="0" w:line="480"/>
        <w:ind w:firstLine="720"/>
      </w:pPr>
      <w:r>
        <w:rPr>
          <w:rFonts w:ascii="Times New Roman" w:cs="Times New Roman" w:eastAsia="Times New Roman" w:hAnsi="Times New Roman"/>
          <w:b/>
          <w:bCs/>
          <w:sz w:val="24"/>
          <w:szCs w:val="24"/>
        </w:rPr>
        <w:t xml:space="preserve">Approach: statistical technique.</w:t>
      </w:r>
      <w:r>
        <w:rPr>
          <w:rFonts w:ascii="Times New Roman" w:cs="Times New Roman" w:eastAsia="Times New Roman" w:hAnsi="Times New Roman"/>
          <w:sz w:val="24"/>
          <w:szCs w:val="24"/>
        </w:rPr>
        <w:t xml:space="preserve"> H0₁ is tested with a χ² test of independence on the 4 × 2 table of priority by breach outcome. If H0₁ is rejected, standardised residuals show which priorities breach more or less often than expected, and pairwise 2 × 2 χ² tests with Holm correction identify which priorities differ. Breach rates for each priority are reported with 95% confidence intervals.</w:t>
      </w:r>
    </w:p>
    <w:p>
      <w:pPr>
        <w:spacing w:after="0" w:before="0" w:line="480"/>
        <w:ind w:firstLine="720"/>
      </w:pPr>
      <w:r>
        <w:rPr>
          <w:rFonts w:ascii="Times New Roman" w:cs="Times New Roman" w:eastAsia="Times New Roman" w:hAnsi="Times New Roman"/>
          <w:b/>
          <w:bCs/>
          <w:sz w:val="24"/>
          <w:szCs w:val="24"/>
        </w:rPr>
        <w:t xml:space="preserve">Evaluation metrics.</w:t>
      </w:r>
      <w:r>
        <w:rPr>
          <w:rFonts w:ascii="Times New Roman" w:cs="Times New Roman" w:eastAsia="Times New Roman" w:hAnsi="Times New Roman"/>
          <w:sz w:val="24"/>
          <w:szCs w:val="24"/>
        </w:rPr>
        <w:t xml:space="preserve"> The test statistic and its effect size are</w:t>
      </w:r>
    </w:p>
    <w:p>
      <w:pPr>
        <w:spacing w:after="0" w:before="0" w:line="480"/>
        <w:jc w:val="center"/>
      </w:pPr>
      <w:r>
        <w:rPr>
          <w:rFonts w:ascii="Times New Roman" w:cs="Times New Roman" w:eastAsia="Times New Roman" w:hAnsi="Times New Roman"/>
          <w:sz w:val="24"/>
          <w:szCs w:val="24"/>
        </w:rPr>
        <w:t xml:space="preserve">χ² = Σ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)²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(row total × column total)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Cramér's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 √(χ²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w:t>
      </w:r>
    </w:p>
    <w:p>
      <w:pPr>
        <w:spacing w:after="0" w:before="0" w:line="480"/>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are the observed and expected counts in each cell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2 is the smaller table dimension. For example, the expected number of breaches among the 270 Critical incidents, if breach were independent of priority, is 270 × 9,115 / 24,918 = 98.8. With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24,918, a statistic of χ² = 2,492 would give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 √(2,492 / 24,918) = 0.32, a medium effect against Cohen's (2013) thresholds of 0.10 (small), 0.30 (medium), and 0.50 (large).</w:t>
      </w:r>
    </w:p>
    <w:p>
      <w:pPr>
        <w:spacing w:after="0" w:before="0" w:line="480"/>
        <w:ind w:firstLine="720"/>
      </w:pPr>
      <w:r>
        <w:rPr>
          <w:rFonts w:ascii="Times New Roman" w:cs="Times New Roman" w:eastAsia="Times New Roman" w:hAnsi="Times New Roman"/>
          <w:b/>
          <w:bCs/>
          <w:sz w:val="24"/>
          <w:szCs w:val="24"/>
        </w:rPr>
        <w:t xml:space="preserve">Expected solution.</w:t>
      </w:r>
      <w:r>
        <w:rPr>
          <w:rFonts w:ascii="Times New Roman" w:cs="Times New Roman" w:eastAsia="Times New Roman" w:hAnsi="Times New Roman"/>
          <w:sz w:val="24"/>
          <w:szCs w:val="24"/>
        </w:rPr>
        <w:t xml:space="preserve"> The breach rate for each priority and whether the differences are significant, showing whether the priority scheme and its SLA targets work as intended.</w:t>
      </w:r>
    </w:p>
    <w:p>
      <w:pPr>
        <w:pStyle w:val="Heading2"/>
        <w:spacing w:after="0" w:before="0" w:line="480"/>
      </w:pPr>
      <w:r>
        <w:rPr>
          <w:rFonts w:ascii="Times New Roman" w:cs="Times New Roman" w:eastAsia="Times New Roman" w:hAnsi="Times New Roman"/>
          <w:b/>
          <w:bCs/>
          <w:sz w:val="24"/>
          <w:szCs w:val="24"/>
        </w:rPr>
        <w:t xml:space="preserve">Solution to RQ2: Reassignment and SLA Breach</w:t>
      </w:r>
    </w:p>
    <w:p>
      <w:pPr>
        <w:spacing w:after="0" w:before="0" w:line="480"/>
        <w:ind w:firstLine="720"/>
      </w:pPr>
      <w:r>
        <w:rPr>
          <w:rFonts w:ascii="Times New Roman" w:cs="Times New Roman" w:eastAsia="Times New Roman" w:hAnsi="Times New Roman"/>
          <w:b/>
          <w:bCs/>
          <w:sz w:val="24"/>
          <w:szCs w:val="24"/>
        </w:rPr>
        <w:t xml:space="preserve">Approach: statistical technique.</w:t>
      </w:r>
      <w:r>
        <w:rPr>
          <w:rFonts w:ascii="Times New Roman" w:cs="Times New Roman" w:eastAsia="Times New Roman" w:hAnsi="Times New Roman"/>
          <w:sz w:val="24"/>
          <w:szCs w:val="24"/>
        </w:rPr>
        <w:t xml:space="preserve"> H0₂ is first tested with a χ² test of independence on the 2 × 2 table of reassigned (yes/no) by breached (yes/no). The adjusted association is then estimated with a multivariable logistic regression, logit(</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(breach = 1)) = β₀ + β₁ × reassignment_count + β₂ × priority + β₃ × category, and H0₂ is tested with the Wald test on β₁. Linearity in the logit is checked by refitting reassignment as a category (0, 1, 2, 3+), and multicollinearity with variance inflation factors.</w:t>
      </w:r>
    </w:p>
    <w:p>
      <w:pPr>
        <w:spacing w:after="0" w:before="0" w:line="480"/>
        <w:ind w:firstLine="720"/>
      </w:pPr>
      <w:r>
        <w:rPr>
          <w:rFonts w:ascii="Times New Roman" w:cs="Times New Roman" w:eastAsia="Times New Roman" w:hAnsi="Times New Roman"/>
          <w:b/>
          <w:bCs/>
          <w:sz w:val="24"/>
          <w:szCs w:val="24"/>
        </w:rPr>
        <w:t xml:space="preserve">Evaluation metrics.</w:t>
      </w:r>
      <w:r>
        <w:rPr>
          <w:rFonts w:ascii="Times New Roman" w:cs="Times New Roman" w:eastAsia="Times New Roman" w:hAnsi="Times New Roman"/>
          <w:sz w:val="24"/>
          <w:szCs w:val="24"/>
        </w:rPr>
        <w:t xml:space="preserve"> The test statistic is χ² = Σ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)²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over the four cells, with association strength φ = √(χ²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The adjusted effect is the odds ratio OR = e</w:t>
      </w:r>
      <w:r>
        <w:rPr>
          <w:rFonts w:ascii="Times New Roman" w:cs="Times New Roman" w:eastAsia="Times New Roman" w:hAnsi="Times New Roman"/>
          <w:sz w:val="24"/>
          <w:szCs w:val="24"/>
          <w:vertAlign w:val="superscript"/>
        </w:rPr>
        <w:t xml:space="preserve">β₁</w:t>
      </w:r>
      <w:r>
        <w:rPr>
          <w:rFonts w:ascii="Times New Roman" w:cs="Times New Roman" w:eastAsia="Times New Roman" w:hAnsi="Times New Roman"/>
          <w:sz w:val="24"/>
          <w:szCs w:val="24"/>
        </w:rPr>
        <w:t xml:space="preserve"> with 95% confidence interval e</w:t>
      </w:r>
      <w:r>
        <w:rPr>
          <w:rFonts w:ascii="Times New Roman" w:cs="Times New Roman" w:eastAsia="Times New Roman" w:hAnsi="Times New Roman"/>
          <w:sz w:val="24"/>
          <w:szCs w:val="24"/>
          <w:vertAlign w:val="superscript"/>
        </w:rPr>
        <w:t xml:space="preserve">(β₁ ± 1.96 × SE(β₁))</w:t>
      </w:r>
      <w:r>
        <w:rPr>
          <w:rFonts w:ascii="Times New Roman" w:cs="Times New Roman" w:eastAsia="Times New Roman" w:hAnsi="Times New Roman"/>
          <w:sz w:val="24"/>
          <w:szCs w:val="24"/>
        </w:rPr>
        <w:t xml:space="preserve">; for example, β₁ = 0.40 would give OR = e</w:t>
      </w:r>
      <w:r>
        <w:rPr>
          <w:rFonts w:ascii="Times New Roman" w:cs="Times New Roman" w:eastAsia="Times New Roman" w:hAnsi="Times New Roman"/>
          <w:sz w:val="24"/>
          <w:szCs w:val="24"/>
          <w:vertAlign w:val="superscript"/>
        </w:rPr>
        <w:t xml:space="preserve">0.40</w:t>
      </w:r>
      <w:r>
        <w:rPr>
          <w:rFonts w:ascii="Times New Roman" w:cs="Times New Roman" w:eastAsia="Times New Roman" w:hAnsi="Times New Roman"/>
          <w:sz w:val="24"/>
          <w:szCs w:val="24"/>
        </w:rPr>
        <w:t xml:space="preserve"> = 1.49, meaning each extra reassignment multiplies the odds of breach by 1.49. Model fit is McFadden's pseudo-R² = 1 − ln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(model) / ln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(null).</w:t>
      </w:r>
    </w:p>
    <w:p>
      <w:pPr>
        <w:spacing w:after="0" w:before="0" w:line="480"/>
        <w:ind w:firstLine="720"/>
      </w:pPr>
      <w:r>
        <w:rPr>
          <w:rFonts w:ascii="Times New Roman" w:cs="Times New Roman" w:eastAsia="Times New Roman" w:hAnsi="Times New Roman"/>
          <w:b/>
          <w:bCs/>
          <w:sz w:val="24"/>
          <w:szCs w:val="24"/>
        </w:rPr>
        <w:t xml:space="preserve">Expected solution.</w:t>
      </w:r>
      <w:r>
        <w:rPr>
          <w:rFonts w:ascii="Times New Roman" w:cs="Times New Roman" w:eastAsia="Times New Roman" w:hAnsi="Times New Roman"/>
          <w:sz w:val="24"/>
          <w:szCs w:val="24"/>
        </w:rPr>
        <w:t xml:space="preserve"> The breach odds attributable to each additional reassignment, which puts a number on the value of routing a ticket to the right group first time.</w:t>
      </w:r>
    </w:p>
    <w:p>
      <w:pPr>
        <w:pStyle w:val="Heading2"/>
        <w:spacing w:after="0" w:before="0" w:line="480"/>
      </w:pPr>
      <w:r>
        <w:rPr>
          <w:rFonts w:ascii="Times New Roman" w:cs="Times New Roman" w:eastAsia="Times New Roman" w:hAnsi="Times New Roman"/>
          <w:b/>
          <w:bCs/>
          <w:sz w:val="24"/>
          <w:szCs w:val="24"/>
        </w:rPr>
        <w:t xml:space="preserve">Solution to RQ3: Knowledge-Base Use and SLA Breach</w:t>
      </w:r>
    </w:p>
    <w:p>
      <w:pPr>
        <w:spacing w:after="0" w:before="0" w:line="480"/>
        <w:ind w:firstLine="720"/>
      </w:pPr>
      <w:r>
        <w:rPr>
          <w:rFonts w:ascii="Times New Roman" w:cs="Times New Roman" w:eastAsia="Times New Roman" w:hAnsi="Times New Roman"/>
          <w:b/>
          <w:bCs/>
          <w:sz w:val="24"/>
          <w:szCs w:val="24"/>
        </w:rPr>
        <w:t xml:space="preserve">Approach: statistical technique.</w:t>
      </w:r>
      <w:r>
        <w:rPr>
          <w:rFonts w:ascii="Times New Roman" w:cs="Times New Roman" w:eastAsia="Times New Roman" w:hAnsi="Times New Roman"/>
          <w:sz w:val="24"/>
          <w:szCs w:val="24"/>
        </w:rPr>
        <w:t xml:space="preserve"> H0₃ is first tested with a χ² test of independence on the 2 × 2 table of knowledge used (yes/no) by breached (yes/no), for the 3,551 incidents that used a knowledge article and the 21,367 that did not. Because knowledge use is unevenly spread across priorities and categories, the adjusted association is estimated with a multivariable logistic regression, logit(</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(breach = 1)) = β₀ + β₁ × knowledge + β₂ × priority + β₃ × category, and H0₃ is tested with the Wald test on β₁. A Mantel–Haenszel odds ratio across the four priority strata (Mantel &amp; Haenszel, 1959) is reported as a robustness check.</w:t>
      </w:r>
    </w:p>
    <w:p>
      <w:pPr>
        <w:spacing w:after="0" w:before="0" w:line="480"/>
        <w:ind w:firstLine="720"/>
      </w:pPr>
      <w:r>
        <w:rPr>
          <w:rFonts w:ascii="Times New Roman" w:cs="Times New Roman" w:eastAsia="Times New Roman" w:hAnsi="Times New Roman"/>
          <w:b/>
          <w:bCs/>
          <w:sz w:val="24"/>
          <w:szCs w:val="24"/>
        </w:rPr>
        <w:t xml:space="preserve">Evaluation metrics.</w:t>
      </w:r>
      <w:r>
        <w:rPr>
          <w:rFonts w:ascii="Times New Roman" w:cs="Times New Roman" w:eastAsia="Times New Roman" w:hAnsi="Times New Roman"/>
          <w:sz w:val="24"/>
          <w:szCs w:val="24"/>
        </w:rPr>
        <w:t xml:space="preserve"> The unadjusted odds ratio from the 2 × 2 table is OR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are breached and met incidents with knowledge use and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the same without it; the adjusted odds ratio is e</w:t>
      </w:r>
      <w:r>
        <w:rPr>
          <w:rFonts w:ascii="Times New Roman" w:cs="Times New Roman" w:eastAsia="Times New Roman" w:hAnsi="Times New Roman"/>
          <w:sz w:val="24"/>
          <w:szCs w:val="24"/>
          <w:vertAlign w:val="superscript"/>
        </w:rPr>
        <w:t xml:space="preserve">β₁</w:t>
      </w:r>
      <w:r>
        <w:rPr>
          <w:rFonts w:ascii="Times New Roman" w:cs="Times New Roman" w:eastAsia="Times New Roman" w:hAnsi="Times New Roman"/>
          <w:sz w:val="24"/>
          <w:szCs w:val="24"/>
        </w:rPr>
        <w:t xml:space="preserve"> with 95% confidence interval e</w:t>
      </w:r>
      <w:r>
        <w:rPr>
          <w:rFonts w:ascii="Times New Roman" w:cs="Times New Roman" w:eastAsia="Times New Roman" w:hAnsi="Times New Roman"/>
          <w:sz w:val="24"/>
          <w:szCs w:val="24"/>
          <w:vertAlign w:val="superscript"/>
        </w:rPr>
        <w:t xml:space="preserve">(β₁ ± 1.96 × SE(β₁))</w:t>
      </w:r>
      <w:r>
        <w:rPr>
          <w:rFonts w:ascii="Times New Roman" w:cs="Times New Roman" w:eastAsia="Times New Roman" w:hAnsi="Times New Roman"/>
          <w:sz w:val="24"/>
          <w:szCs w:val="24"/>
        </w:rPr>
        <w:t xml:space="preserve">. For example, if 1,000 of 2,000 incidents with knowledge use breached against 5,000 of 20,000 without, the unadjusted odds ratio would be (1,000 × 15,000) / (1,000 × 5,000) = 3.0, meaning the odds of breach are three times higher with knowledge use.</w:t>
      </w:r>
    </w:p>
    <w:p>
      <w:pPr>
        <w:spacing w:after="0" w:before="0" w:line="480"/>
        <w:ind w:firstLine="720"/>
      </w:pPr>
      <w:r>
        <w:rPr>
          <w:rFonts w:ascii="Times New Roman" w:cs="Times New Roman" w:eastAsia="Times New Roman" w:hAnsi="Times New Roman"/>
          <w:b/>
          <w:bCs/>
          <w:sz w:val="24"/>
          <w:szCs w:val="24"/>
        </w:rPr>
        <w:t xml:space="preserve">Expected solution.</w:t>
      </w:r>
      <w:r>
        <w:rPr>
          <w:rFonts w:ascii="Times New Roman" w:cs="Times New Roman" w:eastAsia="Times New Roman" w:hAnsi="Times New Roman"/>
          <w:sz w:val="24"/>
          <w:szCs w:val="24"/>
        </w:rPr>
        <w:t xml:space="preserve"> Evidence on whether knowledge-base use is associated with breach once priority and category are held constant, which tells knowledge managers whether articles are helping or are mainly consulted for incidents that were already at risk. Results are reported as association, not causation.</w:t>
      </w:r>
    </w:p>
    <w:p>
      <w:pPr>
        <w:pStyle w:val="Heading2"/>
        <w:spacing w:after="0" w:before="0" w:line="480"/>
      </w:pPr>
      <w:r>
        <w:rPr>
          <w:rFonts w:ascii="Times New Roman" w:cs="Times New Roman" w:eastAsia="Times New Roman" w:hAnsi="Times New Roman"/>
          <w:b/>
          <w:bCs/>
          <w:sz w:val="24"/>
          <w:szCs w:val="24"/>
        </w:rPr>
        <w:t xml:space="preserve">Solution to RQ4: Predicting SLA Breach at Logging</w:t>
      </w:r>
    </w:p>
    <w:p>
      <w:pPr>
        <w:spacing w:after="0" w:before="0" w:line="480"/>
        <w:ind w:firstLine="720"/>
      </w:pPr>
      <w:r>
        <w:rPr>
          <w:rFonts w:ascii="Times New Roman" w:cs="Times New Roman" w:eastAsia="Times New Roman" w:hAnsi="Times New Roman"/>
          <w:b/>
          <w:bCs/>
          <w:sz w:val="24"/>
          <w:szCs w:val="24"/>
        </w:rPr>
        <w:t xml:space="preserve">Approach: machine learning and statistical technique.</w:t>
      </w:r>
      <w:r>
        <w:rPr>
          <w:rFonts w:ascii="Times New Roman" w:cs="Times New Roman" w:eastAsia="Times New Roman" w:hAnsi="Times New Roman"/>
          <w:sz w:val="24"/>
          <w:szCs w:val="24"/>
        </w:rPr>
        <w:t xml:space="preserve"> Three classifiers are trained on attributes available at logging (Table 6): regularised logistic regression, random forest (Breiman, 2001), and XGBoost (Chen &amp; Guestrin, 2016). The baseline is a logistic regression on priority alone, the rule operations teams already use. Incidents are ordered by opening time, and the earliest 70% form the training set and the latest 30% the test set; hyperparameters are tuned by five-fold cross-validation within the training set, and class weighting handles the 36.6% breach prevalence. H0₄ is tested statistically with the DeLong test for correlated ROC curves (DeLong et al., 1988), since both models score the same test incidents.</w:t>
      </w:r>
    </w:p>
    <w:p>
      <w:pPr>
        <w:spacing w:after="0" w:before="0" w:line="480"/>
        <w:ind w:firstLine="720"/>
      </w:pPr>
      <w:r>
        <w:rPr>
          <w:rFonts w:ascii="Times New Roman" w:cs="Times New Roman" w:eastAsia="Times New Roman" w:hAnsi="Times New Roman"/>
          <w:b/>
          <w:bCs/>
          <w:sz w:val="24"/>
          <w:szCs w:val="24"/>
        </w:rPr>
        <w:t xml:space="preserve">Evaluation metrics.</w:t>
      </w:r>
      <w:r>
        <w:rPr>
          <w:rFonts w:ascii="Times New Roman" w:cs="Times New Roman" w:eastAsia="Times New Roman" w:hAnsi="Times New Roman"/>
          <w:sz w:val="24"/>
          <w:szCs w:val="24"/>
        </w:rPr>
        <w:t xml:space="preserve"> With TP, FP, TN, and FN as the confusion-matrix counts: Precision = TP / (TP + FP), Recall = TP / (TP + FN), F1 = 2 × Precision × Recall / (Precision + Recall), AUC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(score of a breached incident &gt; score of a non-breached incident), and Brier score = (1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Σ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ᵢ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ᵢ)². For example, a model that flags 1,000 test incidents, of which 700 breach, out of 2,000 actual breaches would have precision = 700 / 1,000 = 0.70, recall = 700 / 2,000 = 0.35, and F1 = 2 × 0.70 × 0.35 / 1.05 = 0.47. AUC is the primary metric because it does not depend on the threshold; recall is the key operational metric because a missed breach costs more than an unnecessary review.</w:t>
      </w:r>
    </w:p>
    <w:p>
      <w:pPr>
        <w:spacing w:after="0" w:before="0" w:line="480"/>
        <w:ind w:firstLine="720"/>
      </w:pPr>
      <w:r>
        <w:rPr>
          <w:rFonts w:ascii="Times New Roman" w:cs="Times New Roman" w:eastAsia="Times New Roman" w:hAnsi="Times New Roman"/>
          <w:b/>
          <w:bCs/>
          <w:sz w:val="24"/>
          <w:szCs w:val="24"/>
        </w:rPr>
        <w:t xml:space="preserve">Expected solution.</w:t>
      </w:r>
      <w:r>
        <w:rPr>
          <w:rFonts w:ascii="Times New Roman" w:cs="Times New Roman" w:eastAsia="Times New Roman" w:hAnsi="Times New Roman"/>
          <w:sz w:val="24"/>
          <w:szCs w:val="24"/>
        </w:rPr>
        <w:t xml:space="preserve"> A validated breach-risk score available at logging, evidence of whether it beats the priority-only rule, and the attributes that drive risk.</w:t>
      </w:r>
    </w:p>
    <w:p>
      <w:pPr>
        <w:pStyle w:val="Heading2"/>
        <w:spacing w:after="0" w:before="0" w:line="480"/>
      </w:pPr>
      <w:r>
        <w:rPr>
          <w:rFonts w:ascii="Times New Roman" w:cs="Times New Roman" w:eastAsia="Times New Roman" w:hAnsi="Times New Roman"/>
          <w:b/>
          <w:bCs/>
          <w:sz w:val="24"/>
          <w:szCs w:val="24"/>
        </w:rPr>
        <w:t xml:space="preserve">End-to-End Solution Pipeline</w:t>
      </w:r>
    </w:p>
    <w:p>
      <w:pPr>
        <w:spacing w:after="0" w:before="0" w:line="480"/>
        <w:ind w:firstLine="720"/>
      </w:pPr>
      <w:r>
        <w:rPr>
          <w:rFonts w:ascii="Times New Roman" w:cs="Times New Roman" w:eastAsia="Times New Roman" w:hAnsi="Times New Roman"/>
          <w:sz w:val="24"/>
          <w:szCs w:val="24"/>
        </w:rPr>
        <w:t xml:space="preserve">Figure 3 shows the pipeline from raw data to recommendation, and Table 9 lists the tools and the artefact each stage produces. Every stage is scripted in a numbered Jupyter notebook in the GitHub repository; random seeds are fixed (seed = 42), package versions are pinned in requirements.txt, and the raw file is never modified, so any reader can reproduce every table and figure by running the notebooks in order.</w:t>
      </w:r>
    </w:p>
    <w:p>
      <w:pPr>
        <w:keepNext/>
        <w:spacing w:after="0" w:before="240" w:line="480"/>
      </w:pPr>
      <w:r>
        <w:rPr>
          <w:rFonts w:ascii="Times New Roman" w:cs="Times New Roman" w:eastAsia="Times New Roman" w:hAnsi="Times New Roman"/>
          <w:b/>
          <w:bCs/>
          <w:sz w:val="24"/>
          <w:szCs w:val="24"/>
        </w:rPr>
        <w:t xml:space="preserve">Figure 3</w:t>
      </w:r>
    </w:p>
    <w:p>
      <w:pPr>
        <w:keepNext/>
        <w:spacing w:after="0" w:before="0" w:line="480"/>
      </w:pPr>
      <w:r>
        <w:rPr>
          <w:rFonts w:ascii="Times New Roman" w:cs="Times New Roman" w:eastAsia="Times New Roman" w:hAnsi="Times New Roman"/>
          <w:i/>
          <w:iCs/>
          <w:sz w:val="24"/>
          <w:szCs w:val="24"/>
        </w:rPr>
        <w:t xml:space="preserve">Solution Pipeline From Raw Event Log to Recommendation</w:t>
      </w:r>
    </w:p>
    <w:p>
      <w:pPr>
        <w:spacing w:after="120" w:before="12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71775"/>
                    </a:xfrm>
                    <a:prstGeom prst="rect">
                      <a:avLst/>
                    </a:prstGeom>
                  </pic:spPr>
                </pic:pic>
              </a:graphicData>
            </a:graphic>
          </wp:inline>
        </w:drawing>
      </w:r>
    </w:p>
    <w:p>
      <w:pPr>
        <w:keepNext/>
        <w:spacing w:after="0" w:before="240" w:line="480"/>
      </w:pPr>
      <w:r>
        <w:rPr>
          <w:rFonts w:ascii="Times New Roman" w:cs="Times New Roman" w:eastAsia="Times New Roman" w:hAnsi="Times New Roman"/>
          <w:b/>
          <w:bCs/>
          <w:sz w:val="24"/>
          <w:szCs w:val="24"/>
        </w:rPr>
        <w:t xml:space="preserve">Table 9</w:t>
      </w:r>
    </w:p>
    <w:p>
      <w:pPr>
        <w:keepNext/>
        <w:spacing w:after="0" w:before="0" w:line="480"/>
      </w:pPr>
      <w:r>
        <w:rPr>
          <w:rFonts w:ascii="Times New Roman" w:cs="Times New Roman" w:eastAsia="Times New Roman" w:hAnsi="Times New Roman"/>
          <w:i/>
          <w:iCs/>
          <w:sz w:val="24"/>
          <w:szCs w:val="24"/>
        </w:rPr>
        <w:t xml:space="preserve">Pipeline Stages, Tools,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Stage</w:t>
            </w:r>
          </w:p>
        </w:tc>
        <w:tc>
          <w:tcPr>
            <w:tcW w:type="dxa" w:w="33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Tools</w:t>
            </w:r>
          </w:p>
        </w:tc>
        <w:tc>
          <w:tcPr>
            <w:tcW w:type="dxa" w:w="3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Output artefact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1–2. Ingest, validate, prepare</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Python 3, pandas, NumPy</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data/processed/incidents.csv; exclusion counts (01_data_preparation.ipynb)</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 Explore</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pandas, matplotlib</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 profile (Table 7) and distribution plots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4. Test RQ1–RQ3</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SciPy, statsmodels</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statistics, odds ratios, p-values, effect sizes, confidence intervals (notebooks 02–04)</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5. Model RQ4</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scikit-learn, XGBoost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Trained baseline and candidate models; tuned hyperparameters (notebook 05)</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6. Evaluate and recommend</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scikit-learn metrics; DeLong test implemented in Python</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AUC comparison, confusion matrices, feature importance, business translation for the final report</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Expected outcomes, all for SLA breach: breach rates by priority (RQ1), the breach odds attributable to reassignment (RQ2) and to knowledge-base use (RQ3), and a validated at-logging breach-risk score compared against the priority-only rule (RQ4).</w:t>
      </w:r>
    </w:p>
    <w:p>
      <w:pPr>
        <w:pStyle w:val="Heading2"/>
        <w:spacing w:after="0" w:before="0" w:line="480"/>
      </w:pPr>
      <w:r>
        <w:rPr>
          <w:rFonts w:ascii="Times New Roman" w:cs="Times New Roman" w:eastAsia="Times New Roman" w:hAnsi="Times New Roman"/>
          <w:b/>
          <w:bCs/>
          <w:sz w:val="24"/>
          <w:szCs w:val="24"/>
        </w:rPr>
        <w:t xml:space="preserve">Limitations and Threats to Validity</w:t>
      </w:r>
    </w:p>
    <w:p>
      <w:pPr>
        <w:spacing w:after="0" w:before="0" w:line="480"/>
        <w:ind w:firstLine="720"/>
      </w:pPr>
      <w:r>
        <w:rPr>
          <w:rFonts w:ascii="Times New Roman" w:cs="Times New Roman" w:eastAsia="Times New Roman" w:hAnsi="Times New Roman"/>
          <w:sz w:val="24"/>
          <w:szCs w:val="24"/>
        </w:rPr>
        <w:t xml:space="preserve">The data comes from one anonymised organisation with coded categories, which limits generalisability and the interpretation of individual levels. The three-month concentration of incidents prevents any study of seasonality. RQ2 and RQ3 are observational, so unmeasured factors such as analyst skill may confound the associations. SLA targets are not recorded; the near-universal breach of Critical and High incidents suggests very tight targets that cannot be verified. Priority is highly imbalanced, which limits precision for the three smaller groups. Each limitation will be discussed with the results.</w:t>
      </w:r>
    </w:p>
    <w:p>
      <w:pPr>
        <w:pStyle w:val="Heading1"/>
        <w:spacing w:after="0" w:before="0" w:line="480"/>
        <w:jc w:val="center"/>
      </w:pPr>
      <w:r>
        <w:rPr>
          <w:rFonts w:ascii="Times New Roman" w:cs="Times New Roman" w:eastAsia="Times New Roman" w:hAnsi="Times New Roman"/>
          <w:b/>
          <w:bCs/>
          <w:sz w:val="24"/>
          <w:szCs w:val="24"/>
        </w:rPr>
        <w:t xml:space="preserve">Recommendation and Application</w:t>
      </w:r>
    </w:p>
    <w:p>
      <w:pPr>
        <w:spacing w:after="0" w:before="0" w:line="480"/>
        <w:ind w:firstLine="720"/>
      </w:pPr>
      <w:r>
        <w:rPr>
          <w:rFonts w:ascii="Times New Roman" w:cs="Times New Roman" w:eastAsia="Times New Roman" w:hAnsi="Times New Roman"/>
          <w:sz w:val="24"/>
          <w:szCs w:val="24"/>
        </w:rPr>
        <w:t xml:space="preserve">The primary target users are service delivery managers and service desk leads in managed-service providers and internal IT organisations, who are accountable for SLA attainment. Secondary users are ITSM platform owners, who configure routing and priority rules, and knowledge managers, who decide where to invest in knowledge articles. Table 10 shows how each result turns into a decision. The final report will express model performance in operational terms, such as the share of breaches caught per 100 tickets flagged, so that the recommendation can be judged on workload and benefit rather than on AUC alone.</w:t>
      </w:r>
    </w:p>
    <w:p>
      <w:pPr>
        <w:spacing w:after="0" w:before="0" w:line="480"/>
        <w:ind w:firstLine="720"/>
      </w:pPr>
      <w:r>
        <w:rPr>
          <w:rFonts w:ascii="Times New Roman" w:cs="Times New Roman" w:eastAsia="Times New Roman" w:hAnsi="Times New Roman"/>
          <w:sz w:val="24"/>
          <w:szCs w:val="24"/>
        </w:rPr>
        <w:t xml:space="preserve">If RQ4 is supported, the recommended implementation path is a one-month pilot in shadow mode, in which the model scores every new ticket but no routing changes, followed by a comparison of flagged tickets with actual breaches. The alert threshold would then be set to match the capacity of the senior triage team rather than chosen for statistical neatness, and the model would be retrained each quarter and monitored for drift in the breach rate and in the mix of categories. Because no analyst-level variables are used, the score rates tickets, not people, which keeps its use within normal service-governance practice.</w:t>
      </w:r>
    </w:p>
    <w:p>
      <w:pPr>
        <w:keepNext/>
        <w:spacing w:after="0" w:before="240" w:line="480"/>
      </w:pPr>
      <w:r>
        <w:rPr>
          <w:rFonts w:ascii="Times New Roman" w:cs="Times New Roman" w:eastAsia="Times New Roman" w:hAnsi="Times New Roman"/>
          <w:b/>
          <w:bCs/>
          <w:sz w:val="24"/>
          <w:szCs w:val="24"/>
        </w:rPr>
        <w:t xml:space="preserve">Table 10</w:t>
      </w:r>
    </w:p>
    <w:p>
      <w:pPr>
        <w:keepNext/>
        <w:spacing w:after="0" w:before="0" w:line="480"/>
      </w:pPr>
      <w:r>
        <w:rPr>
          <w:rFonts w:ascii="Times New Roman" w:cs="Times New Roman" w:eastAsia="Times New Roman" w:hAnsi="Times New Roman"/>
          <w:i/>
          <w:iCs/>
          <w:sz w:val="24"/>
          <w:szCs w:val="24"/>
        </w:rPr>
        <w:t xml:space="preserve">Stakeholders, Decisions, and Actions Supported by Each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060"/>
        <w:gridCol w:w="3400"/>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RQ</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Stakeholder</w:t>
            </w:r>
          </w:p>
        </w:tc>
        <w:tc>
          <w:tcPr>
            <w:tcW w:type="dxa" w:w="30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Decision supported</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Action if the alternative hypothesis is supported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Service delivery manager; client</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the priority scheme and SLA targets work as intended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Review SLA targets and staffing for priorities with near-certain breach</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Service desk lead; ITSM platform owner</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How much first-time-right routing is worth</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Invest in routing rules and resolver-group skills matrices; track reassignment as a KPI</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Knowledge manager</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knowledge articles reduce breach risk or mainly signal harder incidents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Prioritise article quality for high-breach categories; track knowledge coverage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Service desk lead; service delivery manager</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Which new tickets to escalate early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Embed the risk score at logging and route high-risk tickets to senior triage</w:t>
            </w:r>
          </w:p>
        </w:tc>
      </w:tr>
    </w:tbl>
    <w:p>
      <w:pPr>
        <w:pStyle w:val="Heading1"/>
        <w:spacing w:after="0" w:before="0" w:line="480"/>
        <w:jc w:val="center"/>
      </w:pPr>
      <w:r>
        <w:rPr>
          <w:rFonts w:ascii="Times New Roman" w:cs="Times New Roman" w:eastAsia="Times New Roman" w:hAnsi="Times New Roman"/>
          <w:b/>
          <w:bCs/>
          <w:sz w:val="24"/>
          <w:szCs w:val="24"/>
        </w:rPr>
        <w:t xml:space="preserve">Project Plan and Resources</w:t>
      </w:r>
    </w:p>
    <w:p>
      <w:pPr>
        <w:spacing w:after="0" w:before="0" w:line="480"/>
        <w:ind w:firstLine="720"/>
      </w:pPr>
      <w:r>
        <w:rPr>
          <w:rFonts w:ascii="Times New Roman" w:cs="Times New Roman" w:eastAsia="Times New Roman" w:hAnsi="Times New Roman"/>
          <w:sz w:val="24"/>
          <w:szCs w:val="24"/>
        </w:rPr>
        <w:t xml:space="preserve">The project needs no budget: the data is free, and all analysis uses open-source Python libraries on a standard laptop, where the 141,712-row file loads in seconds. Table 11 sets out a phased 10-week plan aligned with the QM640 deadlines, with an estimated effort of about 112 hours, or roughly 11 hours a week. Data preparation is already complete, which leaves the most time for the inferential tests (24 hours) and the RQ4 modelling (20 hours), the two phases with the most analytical work.</w:t>
      </w:r>
    </w:p>
    <w:p>
      <w:pPr>
        <w:keepNext/>
        <w:spacing w:after="0" w:before="240" w:line="480"/>
      </w:pPr>
      <w:r>
        <w:rPr>
          <w:rFonts w:ascii="Times New Roman" w:cs="Times New Roman" w:eastAsia="Times New Roman" w:hAnsi="Times New Roman"/>
          <w:b/>
          <w:bCs/>
          <w:sz w:val="24"/>
          <w:szCs w:val="24"/>
        </w:rPr>
        <w:t xml:space="preserve">Table 11</w:t>
      </w:r>
    </w:p>
    <w:p>
      <w:pPr>
        <w:keepNext/>
        <w:spacing w:after="0" w:before="0" w:line="480"/>
      </w:pPr>
      <w:r>
        <w:rPr>
          <w:rFonts w:ascii="Times New Roman" w:cs="Times New Roman" w:eastAsia="Times New Roman" w:hAnsi="Times New Roman"/>
          <w:i/>
          <w:iCs/>
          <w:sz w:val="24"/>
          <w:szCs w:val="24"/>
        </w:rPr>
        <w:t xml:space="preserve">Phased Work Plan Aligned to the QM640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1900"/>
        <w:gridCol w:w="3460"/>
        <w:gridCol w:w="1050"/>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Week (due date)</w:t>
            </w:r>
          </w:p>
        </w:tc>
        <w:tc>
          <w:tcPr>
            <w:tcW w:type="dxa" w:w="1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Phase</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Deliverable</w:t>
            </w:r>
          </w:p>
        </w:tc>
        <w:tc>
          <w:tcPr>
            <w:tcW w:type="dxa" w:w="34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Analytical work and tools</w:t>
            </w:r>
          </w:p>
        </w:tc>
        <w:tc>
          <w:tcPr>
            <w:tcW w:type="dxa" w:w="10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Effort (hours)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1–2 (6 Oct 2026)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Define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Synopsis draft</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Topic approval; data validated; GitHub repository and preparation notebook published (pandas)</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24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3 (13 Oct 2026)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Define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Synopsis final (this document)</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Mentor feedback incorporated; study variables and work plan refined</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4–5 (20 and 27 Oct 2026)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Analyse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Interim report draft and final</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RQ1–RQ3 χ² tests and logistic regressions (SciPy, statsmodels)</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24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6 (3 Nov 2026)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Model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Final report draft</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RQ4 baseline and candidate models, tuning, DeLong test (scikit-learn, XGBoost)</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20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7–8 (15 and 22 Nov 2026)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Validate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Mentor and faculty reviews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Sensitivity analyses; interpretation; business translation</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16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9 (29 Nov 2026)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Communicate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Final presentation</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Presentation deck and model demonstration</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10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10 (13 Dec 2026)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Communicate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Final report</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Final documentation, references, and repository clean-up</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10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Total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112</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Dates are taken from the QM640 schedule. Effort is the estimated hours of individual work per phase.</w:t>
      </w:r>
    </w:p>
    <w:p>
      <w:pPr>
        <w:pStyle w:val="Heading1"/>
        <w:pageBreakBefore/>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Amaral, C. A. L., Fantinato, M., &amp; Peres, S. M. (2018a). Attribute selection with filter and wrapper: An application on incident management process. In </w:t>
      </w:r>
      <w:r>
        <w:rPr>
          <w:rFonts w:ascii="Times New Roman" w:cs="Times New Roman" w:eastAsia="Times New Roman" w:hAnsi="Times New Roman"/>
          <w:i/>
          <w:iCs/>
          <w:sz w:val="24"/>
          <w:szCs w:val="24"/>
        </w:rPr>
        <w:t xml:space="preserve">Proceedings of the 2018 Federated Conference on Computer Science and Information Systems</w:t>
      </w:r>
      <w:r>
        <w:rPr>
          <w:rFonts w:ascii="Times New Roman" w:cs="Times New Roman" w:eastAsia="Times New Roman" w:hAnsi="Times New Roman"/>
          <w:sz w:val="24"/>
          <w:szCs w:val="24"/>
        </w:rPr>
        <w:t xml:space="preserve"> (Annals of Computer Science and Information Systems, Vol. 15, pp. 679–682). https://doi.org/10.15439/2018F126</w:t>
      </w:r>
    </w:p>
    <w:p>
      <w:pPr>
        <w:spacing w:after="0" w:before="0" w:line="480"/>
        <w:ind w:left="720" w:hanging="720"/>
      </w:pPr>
      <w:r>
        <w:rPr>
          <w:rFonts w:ascii="Times New Roman" w:cs="Times New Roman" w:eastAsia="Times New Roman" w:hAnsi="Times New Roman"/>
          <w:sz w:val="24"/>
          <w:szCs w:val="24"/>
        </w:rPr>
        <w:t xml:space="preserve">Amaral, C., Fantinato, M., &amp; Peres, S. (2018b). </w:t>
      </w:r>
      <w:r>
        <w:rPr>
          <w:rFonts w:ascii="Times New Roman" w:cs="Times New Roman" w:eastAsia="Times New Roman" w:hAnsi="Times New Roman"/>
          <w:i/>
          <w:iCs/>
          <w:sz w:val="24"/>
          <w:szCs w:val="24"/>
        </w:rPr>
        <w:t xml:space="preserve">Incident management process enriched event log</w:t>
      </w:r>
      <w:r>
        <w:rPr>
          <w:rFonts w:ascii="Times New Roman" w:cs="Times New Roman" w:eastAsia="Times New Roman" w:hAnsi="Times New Roman"/>
          <w:sz w:val="24"/>
          <w:szCs w:val="24"/>
        </w:rPr>
        <w:t xml:space="preserve"> [Data set]. UCI Machine Learning Repository. https://doi.org/10.24432/C57S4H</w:t>
      </w:r>
    </w:p>
    <w:p>
      <w:pPr>
        <w:spacing w:after="0" w:before="0" w:line="480"/>
        <w:ind w:left="720" w:hanging="720"/>
      </w:pPr>
      <w:r>
        <w:rPr>
          <w:rFonts w:ascii="Times New Roman" w:cs="Times New Roman" w:eastAsia="Times New Roman" w:hAnsi="Times New Roman"/>
          <w:sz w:val="24"/>
          <w:szCs w:val="24"/>
        </w:rPr>
        <w:t xml:space="preserve">Amaral, C. A. L., Fantinato, M., Reijers, H. A., &amp; Peres, S. M. (2019). Enhancing completion time prediction through attribute selection. In </w:t>
      </w:r>
      <w:r>
        <w:rPr>
          <w:rFonts w:ascii="Times New Roman" w:cs="Times New Roman" w:eastAsia="Times New Roman" w:hAnsi="Times New Roman"/>
          <w:i/>
          <w:iCs/>
          <w:sz w:val="24"/>
          <w:szCs w:val="24"/>
        </w:rPr>
        <w:t xml:space="preserve">Information technology for management: Emerging research and applications</w:t>
      </w:r>
      <w:r>
        <w:rPr>
          <w:rFonts w:ascii="Times New Roman" w:cs="Times New Roman" w:eastAsia="Times New Roman" w:hAnsi="Times New Roman"/>
          <w:sz w:val="24"/>
          <w:szCs w:val="24"/>
        </w:rPr>
        <w:t xml:space="preserve"> (Lecture Notes in Business Information Processing, pp. 3–23). Springer. https://doi.org/10.1007/978-3-030-15154-6_1</w:t>
      </w:r>
    </w:p>
    <w:p>
      <w:pPr>
        <w:spacing w:after="0" w:before="0" w:line="480"/>
        <w:ind w:left="720" w:hanging="720"/>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after="0" w:before="0" w:line="480"/>
        <w:ind w:left="720" w:hanging="720"/>
      </w:pPr>
      <w:r>
        <w:rPr>
          <w:rFonts w:ascii="Times New Roman" w:cs="Times New Roman" w:eastAsia="Times New Roman" w:hAnsi="Times New Roman"/>
          <w:sz w:val="24"/>
          <w:szCs w:val="24"/>
        </w:rPr>
        <w:t xml:space="preserve">Chen, T., &amp; Guestrin, C. (2016). XGBoost: A scalable tree boosting system. In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sz w:val="24"/>
          <w:szCs w:val="24"/>
        </w:rPr>
        <w:t xml:space="preserve"> (pp. 785–794). ACM. https://doi.org/10.1145/2939672.2939785</w:t>
      </w:r>
    </w:p>
    <w:p>
      <w:pPr>
        <w:spacing w:after="0" w:before="0" w:line="480"/>
        <w:ind w:left="720" w:hanging="720"/>
      </w:pPr>
      <w:r>
        <w:rPr>
          <w:rFonts w:ascii="Times New Roman" w:cs="Times New Roman" w:eastAsia="Times New Roman" w:hAnsi="Times New Roman"/>
          <w:sz w:val="24"/>
          <w:szCs w:val="24"/>
        </w:rPr>
        <w:t xml:space="preserve">Cohen, J. (2013). </w:t>
      </w:r>
      <w:r>
        <w:rPr>
          <w:rFonts w:ascii="Times New Roman" w:cs="Times New Roman" w:eastAsia="Times New Roman" w:hAnsi="Times New Roman"/>
          <w:i/>
          <w:iCs/>
          <w:sz w:val="24"/>
          <w:szCs w:val="24"/>
        </w:rPr>
        <w:t xml:space="preserve">Statistical power analysis for the behavioral sciences</w:t>
      </w:r>
      <w:r>
        <w:rPr>
          <w:rFonts w:ascii="Times New Roman" w:cs="Times New Roman" w:eastAsia="Times New Roman" w:hAnsi="Times New Roman"/>
          <w:sz w:val="24"/>
          <w:szCs w:val="24"/>
        </w:rPr>
        <w:t xml:space="preserve"> (2nd ed.). Routledge. https://doi.org/10.4324/9780203771587</w:t>
      </w:r>
    </w:p>
    <w:p>
      <w:pPr>
        <w:spacing w:after="0" w:before="0" w:line="480"/>
        <w:ind w:left="720" w:hanging="720"/>
      </w:pPr>
      <w:r>
        <w:rPr>
          <w:rFonts w:ascii="Times New Roman" w:cs="Times New Roman" w:eastAsia="Times New Roman" w:hAnsi="Times New Roman"/>
          <w:sz w:val="24"/>
          <w:szCs w:val="24"/>
        </w:rPr>
        <w:t xml:space="preserve">Dang, Y., Lin, Q., &amp; Huang, P. (2019). AIOps: Real-world challenges and research innovations. In </w:t>
      </w:r>
      <w:r>
        <w:rPr>
          <w:rFonts w:ascii="Times New Roman" w:cs="Times New Roman" w:eastAsia="Times New Roman" w:hAnsi="Times New Roman"/>
          <w:i/>
          <w:iCs/>
          <w:sz w:val="24"/>
          <w:szCs w:val="24"/>
        </w:rPr>
        <w:t xml:space="preserve">2019 IEEE/ACM 41st International Conference on Software Engineering: Companion Proceedings (ICSE-Companion)</w:t>
      </w:r>
      <w:r>
        <w:rPr>
          <w:rFonts w:ascii="Times New Roman" w:cs="Times New Roman" w:eastAsia="Times New Roman" w:hAnsi="Times New Roman"/>
          <w:sz w:val="24"/>
          <w:szCs w:val="24"/>
        </w:rPr>
        <w:t xml:space="preserve"> (pp. 4–5). IEEE. https://doi.org/10.1109/ICSE-Companion.2019.00023</w:t>
      </w:r>
    </w:p>
    <w:p>
      <w:pPr>
        <w:spacing w:after="0" w:before="0" w:line="480"/>
        <w:ind w:left="720" w:hanging="720"/>
      </w:pPr>
      <w:r>
        <w:rPr>
          <w:rFonts w:ascii="Times New Roman" w:cs="Times New Roman" w:eastAsia="Times New Roman" w:hAnsi="Times New Roman"/>
          <w:sz w:val="24"/>
          <w:szCs w:val="24"/>
        </w:rPr>
        <w:t xml:space="preserve">DeLong, E. R., DeLong, D. M., &amp; Clarke-Pearson, D. L. (1988). Comparing the areas under two or more correlated receiver operating characteristic curves: A nonparametric approach. </w:t>
      </w:r>
      <w:r>
        <w:rPr>
          <w:rFonts w:ascii="Times New Roman" w:cs="Times New Roman" w:eastAsia="Times New Roman" w:hAnsi="Times New Roman"/>
          <w:i/>
          <w:iCs/>
          <w:sz w:val="24"/>
          <w:szCs w:val="24"/>
        </w:rPr>
        <w:t xml:space="preserve">Biometrics, 44</w:t>
      </w:r>
      <w:r>
        <w:rPr>
          <w:rFonts w:ascii="Times New Roman" w:cs="Times New Roman" w:eastAsia="Times New Roman" w:hAnsi="Times New Roman"/>
          <w:sz w:val="24"/>
          <w:szCs w:val="24"/>
        </w:rPr>
        <w:t xml:space="preserve">(3), 837–845. https://doi.org/10.2307/2531595</w:t>
      </w:r>
    </w:p>
    <w:p>
      <w:pPr>
        <w:spacing w:after="0" w:before="0" w:line="480"/>
        <w:ind w:left="720" w:hanging="720"/>
      </w:pPr>
      <w:r>
        <w:rPr>
          <w:rFonts w:ascii="Times New Roman" w:cs="Times New Roman" w:eastAsia="Times New Roman" w:hAnsi="Times New Roman"/>
          <w:sz w:val="24"/>
          <w:szCs w:val="24"/>
        </w:rPr>
        <w:t xml:space="preserve">Faul, F., Erdfelder, E., Lang, A.-G., &amp; Buchner, A. (2007). G*Power 3: A flexible statistical power analysis program for the social, behavioral, and biomedical sciences. </w:t>
      </w:r>
      <w:r>
        <w:rPr>
          <w:rFonts w:ascii="Times New Roman" w:cs="Times New Roman" w:eastAsia="Times New Roman" w:hAnsi="Times New Roman"/>
          <w:i/>
          <w:iCs/>
          <w:sz w:val="24"/>
          <w:szCs w:val="24"/>
        </w:rPr>
        <w:t xml:space="preserve">Behavior Research Methods, 39</w:t>
      </w:r>
      <w:r>
        <w:rPr>
          <w:rFonts w:ascii="Times New Roman" w:cs="Times New Roman" w:eastAsia="Times New Roman" w:hAnsi="Times New Roman"/>
          <w:sz w:val="24"/>
          <w:szCs w:val="24"/>
        </w:rPr>
        <w:t xml:space="preserve">(2), 175–191. https://doi.org/10.3758/BF03193146</w:t>
      </w:r>
    </w:p>
    <w:p>
      <w:pPr>
        <w:spacing w:after="0" w:before="0" w:line="480"/>
        <w:ind w:left="720" w:hanging="720"/>
      </w:pPr>
      <w:r>
        <w:rPr>
          <w:rFonts w:ascii="Times New Roman" w:cs="Times New Roman" w:eastAsia="Times New Roman" w:hAnsi="Times New Roman"/>
          <w:sz w:val="24"/>
          <w:szCs w:val="24"/>
        </w:rPr>
        <w:t xml:space="preserve">Gelman, A., &amp; Hill, J. (2007). </w:t>
      </w:r>
      <w:r>
        <w:rPr>
          <w:rFonts w:ascii="Times New Roman" w:cs="Times New Roman" w:eastAsia="Times New Roman" w:hAnsi="Times New Roman"/>
          <w:i/>
          <w:iCs/>
          <w:sz w:val="24"/>
          <w:szCs w:val="24"/>
        </w:rPr>
        <w:t xml:space="preserve">Data analysis using regression and multilevel/hierarchical models</w:t>
      </w:r>
      <w:r>
        <w:rPr>
          <w:rFonts w:ascii="Times New Roman" w:cs="Times New Roman" w:eastAsia="Times New Roman" w:hAnsi="Times New Roman"/>
          <w:sz w:val="24"/>
          <w:szCs w:val="24"/>
        </w:rPr>
        <w:t xml:space="preserve">. Cambridge University Press. https://doi.org/10.1017/CBO9780511790942</w:t>
      </w:r>
    </w:p>
    <w:p>
      <w:pPr>
        <w:spacing w:after="0" w:before="0" w:line="480"/>
        <w:ind w:left="720" w:hanging="720"/>
      </w:pPr>
      <w:r>
        <w:rPr>
          <w:rFonts w:ascii="Times New Roman" w:cs="Times New Roman" w:eastAsia="Times New Roman" w:hAnsi="Times New Roman"/>
          <w:sz w:val="24"/>
          <w:szCs w:val="24"/>
        </w:rPr>
        <w:t xml:space="preserve">Green, S. B. (1991). How many subjects does it take to do a regression analysis? </w:t>
      </w:r>
      <w:r>
        <w:rPr>
          <w:rFonts w:ascii="Times New Roman" w:cs="Times New Roman" w:eastAsia="Times New Roman" w:hAnsi="Times New Roman"/>
          <w:i/>
          <w:iCs/>
          <w:sz w:val="24"/>
          <w:szCs w:val="24"/>
        </w:rPr>
        <w:t xml:space="preserve">Multivariate Behavioral Research, 26</w:t>
      </w:r>
      <w:r>
        <w:rPr>
          <w:rFonts w:ascii="Times New Roman" w:cs="Times New Roman" w:eastAsia="Times New Roman" w:hAnsi="Times New Roman"/>
          <w:sz w:val="24"/>
          <w:szCs w:val="24"/>
        </w:rPr>
        <w:t xml:space="preserve">(3), 499–510. https://doi.org/10.1207/s15327906mbr2603_7</w:t>
      </w:r>
    </w:p>
    <w:p>
      <w:pPr>
        <w:spacing w:after="0" w:before="0" w:line="480"/>
        <w:ind w:left="720" w:hanging="720"/>
      </w:pPr>
      <w:r>
        <w:rPr>
          <w:rFonts w:ascii="Times New Roman" w:cs="Times New Roman" w:eastAsia="Times New Roman" w:hAnsi="Times New Roman"/>
          <w:sz w:val="24"/>
          <w:szCs w:val="24"/>
        </w:rPr>
        <w:t xml:space="preserve">Hanley, J. A., &amp; McNeil, B. J. (1982). The meaning and use of the area under a receiver operating characteristic (ROC) curve. </w:t>
      </w:r>
      <w:r>
        <w:rPr>
          <w:rFonts w:ascii="Times New Roman" w:cs="Times New Roman" w:eastAsia="Times New Roman" w:hAnsi="Times New Roman"/>
          <w:i/>
          <w:iCs/>
          <w:sz w:val="24"/>
          <w:szCs w:val="24"/>
        </w:rPr>
        <w:t xml:space="preserve">Radiology, 143</w:t>
      </w:r>
      <w:r>
        <w:rPr>
          <w:rFonts w:ascii="Times New Roman" w:cs="Times New Roman" w:eastAsia="Times New Roman" w:hAnsi="Times New Roman"/>
          <w:sz w:val="24"/>
          <w:szCs w:val="24"/>
        </w:rPr>
        <w:t xml:space="preserve">(1), 29–36. https://doi.org/10.1148/radiology.143.1.7063747</w:t>
      </w:r>
    </w:p>
    <w:p>
      <w:pPr>
        <w:spacing w:after="0" w:before="0" w:line="480"/>
        <w:ind w:left="720" w:hanging="720"/>
      </w:pPr>
      <w:r>
        <w:rPr>
          <w:rFonts w:ascii="Times New Roman" w:cs="Times New Roman" w:eastAsia="Times New Roman" w:hAnsi="Times New Roman"/>
          <w:sz w:val="24"/>
          <w:szCs w:val="24"/>
        </w:rPr>
        <w:t xml:space="preserve">Mantel, N., &amp; Haenszel, W. (1959). Statistical aspects of the analysis of data from retrospective studies of disease. </w:t>
      </w:r>
      <w:r>
        <w:rPr>
          <w:rFonts w:ascii="Times New Roman" w:cs="Times New Roman" w:eastAsia="Times New Roman" w:hAnsi="Times New Roman"/>
          <w:i/>
          <w:iCs/>
          <w:sz w:val="24"/>
          <w:szCs w:val="24"/>
        </w:rPr>
        <w:t xml:space="preserve">Journal of the National Cancer Institute, 22</w:t>
      </w:r>
      <w:r>
        <w:rPr>
          <w:rFonts w:ascii="Times New Roman" w:cs="Times New Roman" w:eastAsia="Times New Roman" w:hAnsi="Times New Roman"/>
          <w:sz w:val="24"/>
          <w:szCs w:val="24"/>
        </w:rPr>
        <w:t xml:space="preserve">(4), 719–748. https://doi.org/10.1093/jnci/22.4.719</w:t>
      </w:r>
    </w:p>
    <w:p>
      <w:pPr>
        <w:spacing w:after="0" w:before="0" w:line="480"/>
        <w:ind w:left="720" w:hanging="720"/>
      </w:pPr>
      <w:r>
        <w:rPr>
          <w:rFonts w:ascii="Times New Roman" w:cs="Times New Roman" w:eastAsia="Times New Roman" w:hAnsi="Times New Roman"/>
          <w:sz w:val="24"/>
          <w:szCs w:val="24"/>
        </w:rPr>
        <w:t xml:space="preserve">Marrone, M., &amp; Kolbe, L. M. (2011). Impact of IT service management frameworks on the IT organization: An empirical study on benefits, challenges, and processes. </w:t>
      </w:r>
      <w:r>
        <w:rPr>
          <w:rFonts w:ascii="Times New Roman" w:cs="Times New Roman" w:eastAsia="Times New Roman" w:hAnsi="Times New Roman"/>
          <w:i/>
          <w:iCs/>
          <w:sz w:val="24"/>
          <w:szCs w:val="24"/>
        </w:rPr>
        <w:t xml:space="preserve">Business &amp; Information Systems Engineering, 3</w:t>
      </w:r>
      <w:r>
        <w:rPr>
          <w:rFonts w:ascii="Times New Roman" w:cs="Times New Roman" w:eastAsia="Times New Roman" w:hAnsi="Times New Roman"/>
          <w:sz w:val="24"/>
          <w:szCs w:val="24"/>
        </w:rPr>
        <w:t xml:space="preserve">(1), 5–18. https://doi.org/10.1007/s12599-010-0141-5</w:t>
      </w:r>
    </w:p>
    <w:p>
      <w:pPr>
        <w:spacing w:after="0" w:before="0" w:line="480"/>
        <w:ind w:left="720" w:hanging="720"/>
      </w:pPr>
      <w:r>
        <w:rPr>
          <w:rFonts w:ascii="Times New Roman" w:cs="Times New Roman" w:eastAsia="Times New Roman" w:hAnsi="Times New Roman"/>
          <w:sz w:val="24"/>
          <w:szCs w:val="24"/>
        </w:rPr>
        <w:t xml:space="preserve">Shao, Q., Chen, Y., Tao, S., Yan, X., &amp; Anerousis, N. (2008). Efficient ticket routing by resolution sequence mining. In </w:t>
      </w:r>
      <w:r>
        <w:rPr>
          <w:rFonts w:ascii="Times New Roman" w:cs="Times New Roman" w:eastAsia="Times New Roman" w:hAnsi="Times New Roman"/>
          <w:i/>
          <w:iCs/>
          <w:sz w:val="24"/>
          <w:szCs w:val="24"/>
        </w:rPr>
        <w:t xml:space="preserve">Proceedings of the 14th ACM SIGKDD International Conference on Knowledge Discovery and Data Mining</w:t>
      </w:r>
      <w:r>
        <w:rPr>
          <w:rFonts w:ascii="Times New Roman" w:cs="Times New Roman" w:eastAsia="Times New Roman" w:hAnsi="Times New Roman"/>
          <w:sz w:val="24"/>
          <w:szCs w:val="24"/>
        </w:rPr>
        <w:t xml:space="preserve"> (pp. 605–613). ACM. https://doi.org/10.1145/1401890.1401964</w:t>
      </w:r>
    </w:p>
    <w:p>
      <w:pPr>
        <w:spacing w:after="0" w:before="0" w:line="480"/>
        <w:ind w:left="720" w:hanging="720"/>
      </w:pPr>
      <w:r>
        <w:rPr>
          <w:rFonts w:ascii="Times New Roman" w:cs="Times New Roman" w:eastAsia="Times New Roman" w:hAnsi="Times New Roman"/>
          <w:sz w:val="24"/>
          <w:szCs w:val="24"/>
        </w:rPr>
        <w:t xml:space="preserve">Tax, N., Verenich, I., La Rosa, M., &amp; Dumas, M. (2017). Predictive business process monitoring with LSTM neural networks. In E. Dubois &amp; K. Pohl (Eds.), </w:t>
      </w:r>
      <w:r>
        <w:rPr>
          <w:rFonts w:ascii="Times New Roman" w:cs="Times New Roman" w:eastAsia="Times New Roman" w:hAnsi="Times New Roman"/>
          <w:i/>
          <w:iCs/>
          <w:sz w:val="24"/>
          <w:szCs w:val="24"/>
        </w:rPr>
        <w:t xml:space="preserve">Advanced information systems engineering</w:t>
      </w:r>
      <w:r>
        <w:rPr>
          <w:rFonts w:ascii="Times New Roman" w:cs="Times New Roman" w:eastAsia="Times New Roman" w:hAnsi="Times New Roman"/>
          <w:sz w:val="24"/>
          <w:szCs w:val="24"/>
        </w:rPr>
        <w:t xml:space="preserve"> (Lecture Notes in Computer Science, Vol. 10253, pp. 477–492). Springer. https://doi.org/10.1007/978-3-319-59536-8_30</w:t>
      </w:r>
    </w:p>
    <w:p>
      <w:pPr>
        <w:spacing w:after="0" w:before="0" w:line="480"/>
        <w:ind w:left="720" w:hanging="720"/>
      </w:pPr>
      <w:r>
        <w:rPr>
          <w:rFonts w:ascii="Times New Roman" w:cs="Times New Roman" w:eastAsia="Times New Roman" w:hAnsi="Times New Roman"/>
          <w:sz w:val="24"/>
          <w:szCs w:val="24"/>
        </w:rPr>
        <w:t xml:space="preserve">van der Aalst, W. (2016). </w:t>
      </w:r>
      <w:r>
        <w:rPr>
          <w:rFonts w:ascii="Times New Roman" w:cs="Times New Roman" w:eastAsia="Times New Roman" w:hAnsi="Times New Roman"/>
          <w:i/>
          <w:iCs/>
          <w:sz w:val="24"/>
          <w:szCs w:val="24"/>
        </w:rPr>
        <w:t xml:space="preserve">Process mining: Data science in action</w:t>
      </w:r>
      <w:r>
        <w:rPr>
          <w:rFonts w:ascii="Times New Roman" w:cs="Times New Roman" w:eastAsia="Times New Roman" w:hAnsi="Times New Roman"/>
          <w:sz w:val="24"/>
          <w:szCs w:val="24"/>
        </w:rPr>
        <w:t xml:space="preserve"> (2nd ed.). Springer. https://doi.org/10.1007/978-3-662-49851-4</w:t>
      </w:r>
    </w:p>
    <w:p>
      <w:pPr>
        <w:spacing w:after="0" w:before="0" w:line="480"/>
        <w:ind w:left="720" w:hanging="720"/>
      </w:pPr>
      <w:r>
        <w:rPr>
          <w:rFonts w:ascii="Times New Roman" w:cs="Times New Roman" w:eastAsia="Times New Roman" w:hAnsi="Times New Roman"/>
          <w:sz w:val="24"/>
          <w:szCs w:val="24"/>
        </w:rPr>
        <w:t xml:space="preserve">Verenich, I., Dumas, M., La Rosa, M., Maggi, F. M., &amp; Teinemaa, I. (2019). Survey and cross-benchmark comparison of remaining time prediction methods in business process monitoring. </w:t>
      </w:r>
      <w:r>
        <w:rPr>
          <w:rFonts w:ascii="Times New Roman" w:cs="Times New Roman" w:eastAsia="Times New Roman" w:hAnsi="Times New Roman"/>
          <w:i/>
          <w:iCs/>
          <w:sz w:val="24"/>
          <w:szCs w:val="24"/>
        </w:rPr>
        <w:t xml:space="preserve">ACM Transactions on Intelligent Systems and Technology, 10</w:t>
      </w:r>
      <w:r>
        <w:rPr>
          <w:rFonts w:ascii="Times New Roman" w:cs="Times New Roman" w:eastAsia="Times New Roman" w:hAnsi="Times New Roman"/>
          <w:sz w:val="24"/>
          <w:szCs w:val="24"/>
        </w:rPr>
        <w:t xml:space="preserve">(4), 1–34. https://doi.org/10.1145/3331449</w:t>
      </w:r>
    </w:p>
    <w:p>
      <w:pPr>
        <w:pStyle w:val="Heading1"/>
        <w:pageBreakBefore/>
        <w:spacing w:after="0" w:before="0" w:line="480"/>
        <w:jc w:val="center"/>
      </w:pPr>
      <w:r>
        <w:rPr>
          <w:rFonts w:ascii="Times New Roman" w:cs="Times New Roman" w:eastAsia="Times New Roman" w:hAnsi="Times New Roman"/>
          <w:b/>
          <w:bCs/>
          <w:sz w:val="24"/>
          <w:szCs w:val="24"/>
        </w:rPr>
        <w:t xml:space="preserve">Appendix A</w:t>
      </w:r>
    </w:p>
    <w:p>
      <w:pPr>
        <w:spacing w:after="0" w:before="0" w:line="480"/>
        <w:jc w:val="center"/>
      </w:pPr>
      <w:r>
        <w:rPr>
          <w:rFonts w:ascii="Times New Roman" w:cs="Times New Roman" w:eastAsia="Times New Roman" w:hAnsi="Times New Roman"/>
          <w:b/>
          <w:bCs/>
          <w:sz w:val="24"/>
          <w:szCs w:val="24"/>
        </w:rPr>
        <w:t xml:space="preserve">Sample Size Calculation Code</w:t>
      </w:r>
    </w:p>
    <w:p>
      <w:pPr>
        <w:spacing w:after="0" w:before="0" w:line="480"/>
        <w:ind w:firstLine="720"/>
      </w:pPr>
      <w:r>
        <w:rPr>
          <w:rFonts w:ascii="Times New Roman" w:cs="Times New Roman" w:eastAsia="Times New Roman" w:hAnsi="Times New Roman"/>
          <w:sz w:val="24"/>
          <w:szCs w:val="24"/>
        </w:rPr>
        <w:t xml:space="preserve">The code below, saved as src/sample_size.py in the GitHub repository, reproduces Tables 3 and 4 (Hanley &amp; McNeil, 1982, for RQ4).</w:t>
      </w:r>
    </w:p>
    <w:p>
      <w:pPr>
        <w:keepLines/>
        <w:spacing w:after="0" w:before="0" w:line="240"/>
      </w:pPr>
      <w:r>
        <w:rPr>
          <w:rFonts w:ascii="Courier New" w:cs="Courier New" w:eastAsia="Courier New" w:hAnsi="Courier New"/>
          <w:sz w:val="16"/>
          <w:szCs w:val="16"/>
        </w:rPr>
        <w:t xml:space="preserve"># QM640 capstone - minimum sample sizes (alpha = 0.05, power = 0.80)</w:t>
      </w:r>
    </w:p>
    <w:p>
      <w:pPr>
        <w:keepLines/>
        <w:spacing w:after="0" w:before="0" w:line="240"/>
      </w:pPr>
      <w:r>
        <w:rPr>
          <w:rFonts w:ascii="Courier New" w:cs="Courier New" w:eastAsia="Courier New" w:hAnsi="Courier New"/>
          <w:sz w:val="16"/>
          <w:szCs w:val="16"/>
        </w:rPr>
        <w:t xml:space="preserve"># Dependent variable for all RQs: SLA breach (binary)</w:t>
      </w:r>
    </w:p>
    <w:p>
      <w:pPr>
        <w:keepLines/>
        <w:spacing w:after="0" w:before="0" w:line="240"/>
      </w:pPr>
      <w:r>
        <w:rPr>
          <w:rFonts w:ascii="Courier New" w:cs="Courier New" w:eastAsia="Courier New" w:hAnsi="Courier New"/>
          <w:sz w:val="16"/>
          <w:szCs w:val="16"/>
        </w:rPr>
        <w:t xml:space="preserve">import numpy as np</w:t>
      </w:r>
    </w:p>
    <w:p>
      <w:pPr>
        <w:keepLines/>
        <w:spacing w:after="0" w:before="0" w:line="240"/>
      </w:pPr>
      <w:r>
        <w:rPr>
          <w:rFonts w:ascii="Courier New" w:cs="Courier New" w:eastAsia="Courier New" w:hAnsi="Courier New"/>
          <w:sz w:val="16"/>
          <w:szCs w:val="16"/>
        </w:rPr>
        <w:t xml:space="preserve">from scipy.stats import chi2, ncx2</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def chi2_n(w, df, a=0.05, p=0.80):            # chi-square test of independence</w:t>
      </w:r>
    </w:p>
    <w:p>
      <w:pPr>
        <w:keepLines/>
        <w:spacing w:after="0" w:before="0" w:line="240"/>
      </w:pPr>
      <w:r>
        <w:rPr>
          <w:rFonts w:ascii="Courier New" w:cs="Courier New" w:eastAsia="Courier New" w:hAnsi="Courier New"/>
          <w:sz w:val="16"/>
          <w:szCs w:val="16"/>
        </w:rPr>
        <w:t xml:space="preserve">    n, c = 10, chi2.ppf(1 - a, df)</w:t>
      </w:r>
    </w:p>
    <w:p>
      <w:pPr>
        <w:keepLines/>
        <w:spacing w:after="0" w:before="0" w:line="240"/>
      </w:pPr>
      <w:r>
        <w:rPr>
          <w:rFonts w:ascii="Courier New" w:cs="Courier New" w:eastAsia="Courier New" w:hAnsi="Courier New"/>
          <w:sz w:val="16"/>
          <w:szCs w:val="16"/>
        </w:rPr>
        <w:t xml:space="preserve">    while ncx2.sf(c, df, n * w**2) &lt; p:</w:t>
      </w:r>
    </w:p>
    <w:p>
      <w:pPr>
        <w:keepLines/>
        <w:spacing w:after="0" w:before="0" w:line="240"/>
      </w:pPr>
      <w:r>
        <w:rPr>
          <w:rFonts w:ascii="Courier New" w:cs="Courier New" w:eastAsia="Courier New" w:hAnsi="Courier New"/>
          <w:sz w:val="16"/>
          <w:szCs w:val="16"/>
        </w:rPr>
        <w:t xml:space="preserve">        n += 1</w:t>
      </w:r>
    </w:p>
    <w:p>
      <w:pPr>
        <w:keepLines/>
        <w:spacing w:after="0" w:before="0" w:line="240"/>
      </w:pPr>
      <w:r>
        <w:rPr>
          <w:rFonts w:ascii="Courier New" w:cs="Courier New" w:eastAsia="Courier New" w:hAnsi="Courier New"/>
          <w:sz w:val="16"/>
          <w:szCs w:val="16"/>
        </w:rPr>
        <w:t xml:space="preserve">    return n</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def auc_test_n(auc, e, prev):                 # RQ4 (Hanley &amp; McNeil, 1982)</w:t>
      </w:r>
    </w:p>
    <w:p>
      <w:pPr>
        <w:keepLines/>
        <w:spacing w:after="0" w:before="0" w:line="240"/>
      </w:pPr>
      <w:r>
        <w:rPr>
          <w:rFonts w:ascii="Courier New" w:cs="Courier New" w:eastAsia="Courier New" w:hAnsi="Courier New"/>
          <w:sz w:val="16"/>
          <w:szCs w:val="16"/>
        </w:rPr>
        <w:t xml:space="preserve">    q1, q2 = auc / (2 - auc), 2 * auc**2 / (1 + auc)</w:t>
      </w:r>
    </w:p>
    <w:p>
      <w:pPr>
        <w:keepLines/>
        <w:spacing w:after="0" w:before="0" w:line="240"/>
      </w:pPr>
      <w:r>
        <w:rPr>
          <w:rFonts w:ascii="Courier New" w:cs="Courier New" w:eastAsia="Courier New" w:hAnsi="Courier New"/>
          <w:sz w:val="16"/>
          <w:szCs w:val="16"/>
        </w:rPr>
        <w:t xml:space="preserve">    n = 50</w:t>
      </w:r>
    </w:p>
    <w:p>
      <w:pPr>
        <w:keepLines/>
        <w:spacing w:after="0" w:before="0" w:line="240"/>
      </w:pPr>
      <w:r>
        <w:rPr>
          <w:rFonts w:ascii="Courier New" w:cs="Courier New" w:eastAsia="Courier New" w:hAnsi="Courier New"/>
          <w:sz w:val="16"/>
          <w:szCs w:val="16"/>
        </w:rPr>
        <w:t xml:space="preserve">    while True:</w:t>
      </w:r>
    </w:p>
    <w:p>
      <w:pPr>
        <w:keepLines/>
        <w:spacing w:after="0" w:before="0" w:line="240"/>
      </w:pPr>
      <w:r>
        <w:rPr>
          <w:rFonts w:ascii="Courier New" w:cs="Courier New" w:eastAsia="Courier New" w:hAnsi="Courier New"/>
          <w:sz w:val="16"/>
          <w:szCs w:val="16"/>
        </w:rPr>
        <w:t xml:space="preserve">        pos = round(n * prev); neg = n - pos</w:t>
      </w:r>
    </w:p>
    <w:p>
      <w:pPr>
        <w:keepLines/>
        <w:spacing w:after="0" w:before="0" w:line="240"/>
      </w:pPr>
      <w:r>
        <w:rPr>
          <w:rFonts w:ascii="Courier New" w:cs="Courier New" w:eastAsia="Courier New" w:hAnsi="Courier New"/>
          <w:sz w:val="16"/>
          <w:szCs w:val="16"/>
        </w:rPr>
        <w:t xml:space="preserve">        var = (auc*(1-auc) + (pos-1)*(q1-auc**2) + (neg-1)*(q2-auc**2)) / (pos*neg)</w:t>
      </w:r>
    </w:p>
    <w:p>
      <w:pPr>
        <w:keepLines/>
        <w:spacing w:after="0" w:before="0" w:line="240"/>
      </w:pPr>
      <w:r>
        <w:rPr>
          <w:rFonts w:ascii="Courier New" w:cs="Courier New" w:eastAsia="Courier New" w:hAnsi="Courier New"/>
          <w:sz w:val="16"/>
          <w:szCs w:val="16"/>
        </w:rPr>
        <w:t xml:space="preserve">        if 1.96 * np.sqrt(var) &lt;= e:</w:t>
      </w:r>
    </w:p>
    <w:p>
      <w:pPr>
        <w:keepLines/>
        <w:spacing w:after="0" w:before="0" w:line="240"/>
      </w:pPr>
      <w:r>
        <w:rPr>
          <w:rFonts w:ascii="Courier New" w:cs="Courier New" w:eastAsia="Courier New" w:hAnsi="Courier New"/>
          <w:sz w:val="16"/>
          <w:szCs w:val="16"/>
        </w:rPr>
        <w:t xml:space="preserve">            return n</w:t>
      </w:r>
    </w:p>
    <w:p>
      <w:pPr>
        <w:keepLines/>
        <w:spacing w:after="0" w:before="0" w:line="240"/>
      </w:pPr>
      <w:r>
        <w:rPr>
          <w:rFonts w:ascii="Courier New" w:cs="Courier New" w:eastAsia="Courier New" w:hAnsi="Courier New"/>
          <w:sz w:val="16"/>
          <w:szCs w:val="16"/>
        </w:rPr>
        <w:t xml:space="preserve">        n += 1</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rq1 = chi2_n(0.10, 3)                         # priority (4) x breach (2): 1091</w:t>
      </w:r>
    </w:p>
    <w:p>
      <w:pPr>
        <w:keepLines/>
        <w:spacing w:after="0" w:before="0" w:line="240"/>
      </w:pPr>
      <w:r>
        <w:rPr>
          <w:rFonts w:ascii="Courier New" w:cs="Courier New" w:eastAsia="Courier New" w:hAnsi="Courier New"/>
          <w:sz w:val="16"/>
          <w:szCs w:val="16"/>
        </w:rPr>
        <w:t xml:space="preserve">rq2 = int(np.ceil(chi2_n(0.10, 1) / (1 - 0.047)))  # 785 / 0.953 -&gt; 824</w:t>
      </w:r>
    </w:p>
    <w:p>
      <w:pPr>
        <w:keepLines/>
        <w:spacing w:after="0" w:before="0" w:line="240"/>
      </w:pPr>
      <w:r>
        <w:rPr>
          <w:rFonts w:ascii="Courier New" w:cs="Courier New" w:eastAsia="Courier New" w:hAnsi="Courier New"/>
          <w:sz w:val="16"/>
          <w:szCs w:val="16"/>
        </w:rPr>
        <w:t xml:space="preserve">rq3 = int(np.ceil(chi2_n(0.10, 1) / (1 - 0.154)))  # 785 / 0.846 -&gt; 928</w:t>
      </w:r>
    </w:p>
    <w:p>
      <w:pPr>
        <w:keepLines/>
        <w:spacing w:after="0" w:before="0" w:line="240"/>
      </w:pPr>
      <w:r>
        <w:rPr>
          <w:rFonts w:ascii="Courier New" w:cs="Courier New" w:eastAsia="Courier New" w:hAnsi="Courier New"/>
          <w:sz w:val="16"/>
          <w:szCs w:val="16"/>
        </w:rPr>
        <w:t xml:space="preserve">test = auc_test_n(0.75, 0.03, 9115 / 24918)   # observed prevalence 0.366: 1191</w:t>
      </w:r>
    </w:p>
    <w:p>
      <w:pPr>
        <w:keepLines/>
        <w:spacing w:after="0" w:before="0" w:line="240"/>
      </w:pPr>
      <w:r>
        <w:rPr>
          <w:rFonts w:ascii="Courier New" w:cs="Courier New" w:eastAsia="Courier New" w:hAnsi="Courier New"/>
          <w:sz w:val="16"/>
          <w:szCs w:val="16"/>
        </w:rPr>
        <w:t xml:space="preserve">rq4 = int(np.ceil(test / 0.30))               # 3970</w:t>
      </w:r>
    </w:p>
    <w:p>
      <w:pPr>
        <w:keepLines/>
        <w:spacing w:after="0" w:before="0" w:line="240"/>
      </w:pPr>
      <w:r>
        <w:rPr>
          <w:rFonts w:ascii="Courier New" w:cs="Courier New" w:eastAsia="Courier New" w:hAnsi="Courier New"/>
          <w:sz w:val="16"/>
          <w:szCs w:val="16"/>
        </w:rPr>
        <w:t xml:space="preserve">print(rq1, rq2, rq3, test, rq4, "final N =", max(rq1, rq2, rq3, rq4))</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outlineLvl w:val="1"/>
    </w:pPr>
    <w:rPr>
      <w:rFonts w:ascii="Times New Roman" w:cs="Times New Roman" w:eastAsia="Times New Roman" w:hAnsi="Times New Roman"/>
      <w:b/>
      <w:bCs/>
      <w:color w:val="000000"/>
      <w:sz w:val="24"/>
      <w:szCs w:val="24"/>
    </w:rPr>
  </w:style>
  <w:style w:type="paragraph" w:styleId="TOC1">
    <w:name w:val="toc 1"/>
    <w:basedOn w:val="Normal"/>
    <w:next w:val="Normal"/>
    <w:pPr>
      <w:tabs>
        <w:tab w:val="right" w:pos="9350" w:leader="dot"/>
      </w:tabs>
      <w:spacing w:after="0" w:before="0" w:line="360"/>
    </w:pPr>
    <w:rPr>
      <w:rFonts w:ascii="Times New Roman" w:cs="Times New Roman" w:eastAsia="Times New Roman" w:hAnsi="Times New Roman"/>
      <w:sz w:val="24"/>
      <w:szCs w:val="24"/>
    </w:rPr>
  </w:style>
  <w:style w:type="paragraph" w:styleId="TOC2">
    <w:name w:val="toc 2"/>
    <w:basedOn w:val="Normal"/>
    <w:next w:val="Normal"/>
    <w:pPr>
      <w:tabs>
        <w:tab w:val="right" w:pos="9350" w:leader="dot"/>
      </w:tabs>
      <w:spacing w:after="0" w:before="0" w:line="360"/>
      <w:ind w:left="480"/>
    </w:pPr>
    <w:rPr>
      <w:rFonts w:ascii="Times New Roman" w:cs="Times New Roman" w:eastAsia="Times New Roman" w:hAnsi="Times New Roman"/>
      <w:sz w:val="24"/>
      <w:szCs w:val="24"/>
    </w:rPr>
  </w:style>
  <w:style w:type="paragraph" w:styleId="Heading3">
    <w:name w:val="Heading 3"/>
    <w:basedOn w:val="Normal"/>
    <w:next w:val="Normal"/>
    <w:qFormat/>
    <w:pPr>
      <w:keepNext/>
      <w:spacing w:after="0" w:before="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661a2854eee3bd3a6467a745303ca527deb8aed.png"/><Relationship Id="rId9" Type="http://schemas.openxmlformats.org/officeDocument/2006/relationships/image" Target="media/bdd232e4755cbd5fc9c1e5369111a39c8bda750d.png"/><Relationship Id="rId10" Type="http://schemas.openxmlformats.org/officeDocument/2006/relationships/image" Target="media/b22754499670e19d1397d17e6589a3521373a32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Capstone Synopsis</dc:title>
  <dc:creator>Binesh Balakrishnan</dc:creator>
  <cp:lastModifiedBy>Un-named</cp:lastModifiedBy>
  <cp:revision>1</cp:revision>
  <dcterms:created xsi:type="dcterms:W3CDTF">2026-10-10T12:12:37.948Z</dcterms:created>
  <dcterms:modified xsi:type="dcterms:W3CDTF">2026-10-10T12:12:37.948Z</dcterms:modified>
</cp:coreProperties>
</file>

<file path=docProps/custom.xml><?xml version="1.0" encoding="utf-8"?>
<Properties xmlns="http://schemas.openxmlformats.org/officeDocument/2006/custom-properties" xmlns:vt="http://schemas.openxmlformats.org/officeDocument/2006/docPropsVTypes"/>
</file>