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480"/>
      </w:pPr>
    </w:p>
    <w:p>
      <w:pPr>
        <w:spacing w:after="0" w:before="0" w:line="480"/>
        <w:jc w:val="center"/>
      </w:pPr>
      <w:r>
        <w:rPr>
          <w:rFonts w:ascii="Times New Roman" w:cs="Times New Roman" w:eastAsia="Times New Roman" w:hAnsi="Times New Roman"/>
          <w:b/>
          <w:bCs/>
          <w:sz w:val="24"/>
          <w:szCs w:val="24"/>
        </w:rPr>
        <w:t xml:space="preserve">Data Analytics Capstone</w:t>
      </w:r>
    </w:p>
    <w:p>
      <w:pPr>
        <w:spacing w:after="0" w:before="0" w:line="480"/>
        <w:jc w:val="center"/>
      </w:pPr>
      <w:r>
        <w:rPr>
          <w:rFonts w:ascii="Times New Roman" w:cs="Times New Roman" w:eastAsia="Times New Roman" w:hAnsi="Times New Roman"/>
          <w:b/>
          <w:bCs/>
          <w:sz w:val="24"/>
          <w:szCs w:val="24"/>
        </w:rPr>
        <w:t xml:space="preserve">Predicting Service Level Agreement Breach and Resolution Time in IT Incident Management: An Analysis of Ticket-Level Drivers in an Enterprise ServiceNow Event Log</w:t>
      </w:r>
    </w:p>
    <w:p>
      <w:pPr>
        <w:spacing w:after="0" w:before="0" w:line="480"/>
        <w:jc w:val="center"/>
      </w:pPr>
      <w:r>
        <w:rPr>
          <w:rFonts w:ascii="Times New Roman" w:cs="Times New Roman" w:eastAsia="Times New Roman" w:hAnsi="Times New Roman"/>
          <w:b/>
          <w:bCs/>
          <w:sz w:val="24"/>
          <w:szCs w:val="24"/>
        </w:rPr>
        <w:t xml:space="preserve">Synopsis</w:t>
      </w:r>
    </w:p>
    <w:p>
      <w:pPr>
        <w:spacing w:after="0" w:before="0" w:line="480"/>
      </w:pPr>
    </w:p>
    <w:p>
      <w:pPr>
        <w:spacing w:after="0" w:before="0" w:line="480"/>
        <w:jc w:val="center"/>
      </w:pPr>
      <w:r>
        <w:rPr>
          <w:rFonts w:ascii="Times New Roman" w:cs="Times New Roman" w:eastAsia="Times New Roman" w:hAnsi="Times New Roman"/>
          <w:sz w:val="24"/>
          <w:szCs w:val="24"/>
        </w:rPr>
        <w:t xml:space="preserve">Binesh Balakrishnan</w:t>
      </w:r>
    </w:p>
    <w:p>
      <w:pPr>
        <w:spacing w:after="0" w:before="0" w:line="480"/>
        <w:jc w:val="center"/>
      </w:pPr>
      <w:r>
        <w:rPr>
          <w:rFonts w:ascii="Times New Roman" w:cs="Times New Roman" w:eastAsia="Times New Roman" w:hAnsi="Times New Roman"/>
          <w:sz w:val="24"/>
          <w:szCs w:val="24"/>
        </w:rPr>
        <w:t xml:space="preserve">Walsh College</w:t>
      </w:r>
    </w:p>
    <w:p>
      <w:pPr>
        <w:spacing w:after="0" w:before="0" w:line="480"/>
        <w:jc w:val="center"/>
      </w:pPr>
      <w:r>
        <w:rPr>
          <w:rFonts w:ascii="Times New Roman" w:cs="Times New Roman" w:eastAsia="Times New Roman" w:hAnsi="Times New Roman"/>
          <w:sz w:val="24"/>
          <w:szCs w:val="24"/>
        </w:rPr>
        <w:t xml:space="preserve">QM640: Data Analytics Capstone</w:t>
      </w:r>
    </w:p>
    <w:p>
      <w:pPr>
        <w:spacing w:after="0" w:before="0" w:line="480"/>
        <w:jc w:val="center"/>
      </w:pPr>
      <w:r>
        <w:rPr>
          <w:rFonts w:ascii="Times New Roman" w:cs="Times New Roman" w:eastAsia="Times New Roman" w:hAnsi="Times New Roman"/>
          <w:sz w:val="24"/>
          <w:szCs w:val="24"/>
        </w:rPr>
        <w:t xml:space="preserve">Ms Keya Choudhury Ganguli</w:t>
      </w:r>
    </w:p>
    <w:p>
      <w:pPr>
        <w:spacing w:after="0" w:before="0" w:line="480"/>
        <w:jc w:val="center"/>
      </w:pPr>
      <w:r>
        <w:rPr>
          <w:rFonts w:ascii="Times New Roman" w:cs="Times New Roman" w:eastAsia="Times New Roman" w:hAnsi="Times New Roman"/>
          <w:sz w:val="24"/>
          <w:szCs w:val="24"/>
        </w:rPr>
        <w:t xml:space="preserve">Term 3</w:t>
      </w:r>
    </w:p>
    <w:p>
      <w:pPr>
        <w:spacing w:after="0" w:before="0" w:line="480"/>
        <w:jc w:val="center"/>
      </w:pPr>
      <w:r>
        <w:rPr>
          <w:rFonts w:ascii="Times New Roman" w:cs="Times New Roman" w:eastAsia="Times New Roman" w:hAnsi="Times New Roman"/>
          <w:sz w:val="24"/>
          <w:szCs w:val="24"/>
        </w:rPr>
        <w:t xml:space="preserve">September 26, 2026</w:t>
      </w:r>
    </w:p>
    <w:p>
      <w:r>
        <w:br w:type="page"/>
      </w:r>
    </w:p>
    <w:p>
      <w:pPr>
        <w:pStyle w:val="Heading1"/>
        <w:spacing w:after="0" w:before="0" w:line="480"/>
        <w:jc w:val="center"/>
      </w:pPr>
      <w:r>
        <w:rPr>
          <w:rFonts w:ascii="Times New Roman" w:cs="Times New Roman" w:eastAsia="Times New Roman" w:hAnsi="Times New Roman"/>
          <w:b/>
          <w:bCs/>
          <w:sz w:val="24"/>
          <w:szCs w:val="24"/>
        </w:rPr>
        <w:t xml:space="preserve">Introduction</w:t>
      </w:r>
    </w:p>
    <w:p>
      <w:pPr>
        <w:pStyle w:val="Heading2"/>
        <w:spacing w:after="0" w:before="0" w:line="480"/>
      </w:pPr>
      <w:r>
        <w:rPr>
          <w:rFonts w:ascii="Times New Roman" w:cs="Times New Roman" w:eastAsia="Times New Roman" w:hAnsi="Times New Roman"/>
          <w:b/>
          <w:bCs/>
          <w:sz w:val="24"/>
          <w:szCs w:val="24"/>
        </w:rPr>
        <w:t xml:space="preserve">Background and Context</w:t>
      </w:r>
    </w:p>
    <w:p>
      <w:pPr>
        <w:spacing w:after="0" w:before="0" w:line="480"/>
        <w:ind w:firstLine="720"/>
      </w:pPr>
      <w:r>
        <w:rPr>
          <w:rFonts w:ascii="Times New Roman" w:cs="Times New Roman" w:eastAsia="Times New Roman" w:hAnsi="Times New Roman"/>
          <w:sz w:val="24"/>
          <w:szCs w:val="24"/>
        </w:rPr>
        <w:t xml:space="preserve">Incident management is the IT service management (ITSM) process that restores normal service as quickly as possible after an unplanned interruption. In enterprise environments it is usually run on a ticketing platform such as ServiceNow, where each incident is logged, prioritised from its impact and urgency, routed to a support group, worked, resolved, and closed. Frameworks such as the IT Infrastructure Library (ITIL) formalise this lifecycle, and empirical work shows that organisations adopting such frameworks report gains in service quality and customer satisfaction but also persistent difficulty in measuring and improving process performance (Marrone &amp; Kolbe, 2011).</w:t>
      </w:r>
    </w:p>
    <w:p>
      <w:pPr>
        <w:spacing w:after="0" w:before="0" w:line="480"/>
        <w:ind w:firstLine="720"/>
      </w:pPr>
      <w:r>
        <w:rPr>
          <w:rFonts w:ascii="Times New Roman" w:cs="Times New Roman" w:eastAsia="Times New Roman" w:hAnsi="Times New Roman"/>
          <w:sz w:val="24"/>
          <w:szCs w:val="24"/>
        </w:rPr>
        <w:t xml:space="preserve">In managed services, the performance of this process is governed by a service level agreement (SLA): a contractual commitment to respond to and resolve incidents within target times that depend on priority. An SLA breach is therefore not only an operational event but a commercial one. Breaches erode customer confidence, can trigger service credits in outsourcing contracts, and consume the time of service delivery managers who must explain them in monthly reviews. The stakeholders are the end users who experience the outage, the service desk and resolver groups who work the tickets, the service delivery manager accountable for SLA attainment, and the client who pays for the service.</w:t>
      </w:r>
    </w:p>
    <w:p>
      <w:pPr>
        <w:spacing w:after="0" w:before="0" w:line="480"/>
        <w:ind w:firstLine="720"/>
      </w:pPr>
      <w:r>
        <w:rPr>
          <w:rFonts w:ascii="Times New Roman" w:cs="Times New Roman" w:eastAsia="Times New Roman" w:hAnsi="Times New Roman"/>
          <w:sz w:val="24"/>
          <w:szCs w:val="24"/>
        </w:rPr>
        <w:t xml:space="preserve">Two operational patterns are widely recognised as drivers of delay. The first is reassignment, where a ticket is passed between support groups before reaching one able to resolve it; mining historical resolution sequences has been shown to reduce the number of transfers needed to route a ticket (Shao et al., 2008). The second is the under-use of recorded knowledge: tickets resolved without reference to existing knowledge articles are likely to repeat diagnostic work that has already been done. At the same time, the rise of artificial intelligence for IT operations (AIOps) has created interest in using historical operational data to predict and prevent service problems rather than react to them (Dang et al., 2019).</w:t>
      </w:r>
    </w:p>
    <w:p>
      <w:pPr>
        <w:spacing w:after="0" w:before="0" w:line="480"/>
        <w:ind w:firstLine="720"/>
      </w:pPr>
      <w:r>
        <w:rPr>
          <w:rFonts w:ascii="Times New Roman" w:cs="Times New Roman" w:eastAsia="Times New Roman" w:hAnsi="Times New Roman"/>
          <w:sz w:val="24"/>
          <w:szCs w:val="24"/>
        </w:rPr>
        <w:t xml:space="preserve">The academic basis for such prediction lies in process mining and predictive process monitoring, which use event logs recorded by information systems to discover, check, and forecast process behaviour (van der Aalst, 2016). Methods to predict the remaining time or the outcome of running process instances have been benchmarked across many real-life logs (Verenich et al., 2019), and deep learning approaches such as long short-term memory networks have been applied to predict the next activity and completion time of a case (Tax et al., 2017). The dataset used in this study was released by Amaral et al. (2018b) and has been used to study attribute selection for completion-time prediction (Amaral et al., 2018a; Amaral et al., 2019). Those studies focus on regression of completion time with attribute-selection techniques; they do not test the managerial hypotheses that service delivery managers act on, nor do they frame SLA breach as a classification problem at the moment of logging. That gap motivates this study.</w:t>
      </w:r>
    </w:p>
    <w:p>
      <w:pPr>
        <w:pStyle w:val="Heading2"/>
        <w:spacing w:after="0" w:before="0" w:line="480"/>
      </w:pPr>
      <w:r>
        <w:rPr>
          <w:rFonts w:ascii="Times New Roman" w:cs="Times New Roman" w:eastAsia="Times New Roman" w:hAnsi="Times New Roman"/>
          <w:b/>
          <w:bCs/>
          <w:sz w:val="24"/>
          <w:szCs w:val="24"/>
        </w:rPr>
        <w:t xml:space="preserve">Problem Statement</w:t>
      </w:r>
    </w:p>
    <w:p>
      <w:pPr>
        <w:spacing w:after="0" w:before="0" w:line="480"/>
        <w:ind w:firstLine="720"/>
      </w:pPr>
      <w:r>
        <w:rPr>
          <w:rFonts w:ascii="Times New Roman" w:cs="Times New Roman" w:eastAsia="Times New Roman" w:hAnsi="Times New Roman"/>
          <w:sz w:val="24"/>
          <w:szCs w:val="24"/>
        </w:rPr>
        <w:t xml:space="preserve">In enterprise incident management, SLA attainment is monitored after the fact: breaches are counted at month end, and the ticket attributes and process behaviours that preceded them are rarely tested statistically. Service delivery managers therefore make staffing, routing, and knowledge-management decisions on intuition, and at-risk tickets are escalated only once the SLA clock is nearly exhausted. The problem this study addresses is the absence of evidence on which ticket-level factors (priority, reassignment, and knowledge-base use) are significantly associated with resolution time and SLA breach, and whether breach risk can be predicted reliably enough at the point of logging to support early intervention. The gap is both empirical, because these relationships have not been tested as hypotheses on this real enterprise log, and practical, because no at-logging breach-risk model has been evaluated against the simple priority-based rule that operations teams already use.</w:t>
      </w:r>
    </w:p>
    <w:p>
      <w:pPr>
        <w:pStyle w:val="Heading2"/>
        <w:spacing w:after="0" w:before="0" w:line="480"/>
      </w:pPr>
      <w:r>
        <w:rPr>
          <w:rFonts w:ascii="Times New Roman" w:cs="Times New Roman" w:eastAsia="Times New Roman" w:hAnsi="Times New Roman"/>
          <w:b/>
          <w:bCs/>
          <w:sz w:val="24"/>
          <w:szCs w:val="24"/>
        </w:rPr>
        <w:t xml:space="preserve">Purpose of the Study</w:t>
      </w:r>
    </w:p>
    <w:p>
      <w:pPr>
        <w:spacing w:after="0" w:before="0" w:line="480"/>
        <w:ind w:firstLine="720"/>
      </w:pPr>
      <w:r>
        <w:rPr>
          <w:rFonts w:ascii="Times New Roman" w:cs="Times New Roman" w:eastAsia="Times New Roman" w:hAnsi="Times New Roman"/>
          <w:sz w:val="24"/>
          <w:szCs w:val="24"/>
        </w:rPr>
        <w:t xml:space="preserve">This research aims to identify the ticket-level drivers of SLA breach and resolution time in an enterprise IT incident-management process, and to test whether a model built on attributes available at ticket logging can predict breach risk, in order to support earlier escalation and better assignment decisions in managed-services operations. The study is both explanatory and predictive. It explains drivers through hypothesis testing on resolution time and breach (RQ1 to RQ3) and predicts breach through binary classification (RQ4). It does not attempt to optimise staffing or to build a production system; the deliverable is evidence and a validated prototype model with a clear recommendation for its use.</w:t>
      </w:r>
    </w:p>
    <w:p>
      <w:pPr>
        <w:pStyle w:val="Heading1"/>
        <w:spacing w:after="0" w:before="0" w:line="480"/>
        <w:jc w:val="center"/>
      </w:pPr>
      <w:r>
        <w:rPr>
          <w:rFonts w:ascii="Times New Roman" w:cs="Times New Roman" w:eastAsia="Times New Roman" w:hAnsi="Times New Roman"/>
          <w:b/>
          <w:bCs/>
          <w:sz w:val="24"/>
          <w:szCs w:val="24"/>
        </w:rPr>
        <w:t xml:space="preserve">Scope and Objectives</w:t>
      </w:r>
    </w:p>
    <w:p>
      <w:pPr>
        <w:spacing w:after="0" w:before="0" w:line="480"/>
        <w:ind w:firstLine="720"/>
      </w:pPr>
      <w:r>
        <w:rPr>
          <w:rFonts w:ascii="Times New Roman" w:cs="Times New Roman" w:eastAsia="Times New Roman" w:hAnsi="Times New Roman"/>
          <w:sz w:val="24"/>
          <w:szCs w:val="24"/>
        </w:rPr>
        <w:t xml:space="preserve">The study is scoped to a single, publicly available event log extracted from the ServiceNow audit system of a real IT company (Amaral et al., 2018b). The unit of analysis is the incident. The log contains 141,712 events describing 24,918 distinct incidents; each incident appears as several events as it moves through up to eight states from opening to closure. All analyses are carried out after collapsing the log to one row per incident, so that each incident contributes one observation and repeated events do not inflate the sample. The objectives are to (a) quantify how resolution time differs across priority levels, (b) estimate the association between reassignment and SLA breach, (c) test whether knowledge-base use is associated with shorter resolution time, and (d) build and evaluate a breach-prediction model using only information available at logging.</w:t>
      </w:r>
    </w:p>
    <w:p>
      <w:pPr>
        <w:spacing w:after="0" w:before="0" w:line="480"/>
        <w:ind w:firstLine="720"/>
      </w:pPr>
      <w:r>
        <w:rPr>
          <w:rFonts w:ascii="Times New Roman" w:cs="Times New Roman" w:eastAsia="Times New Roman" w:hAnsi="Times New Roman"/>
          <w:sz w:val="24"/>
          <w:szCs w:val="24"/>
        </w:rPr>
        <w:t xml:space="preserve">Two scope decisions protect validity. First, only variables that are recorded in the log are used, and every variable is measurable: times are measured in hours from timestamps, counts are integers, and categorical attributes have defined levels (see Table 3). Second, the predictive question (RQ4) excludes variables that accumulate during the ticket lifecycle, such as reassignment count, reopen count, update count, and knowledge-base use, because they are not known when a ticket is logged. Including them would leak information from the future into the prediction and overstate performance.</w:t>
      </w:r>
    </w:p>
    <w:p>
      <w:pPr>
        <w:pStyle w:val="Heading2"/>
        <w:spacing w:after="0" w:before="0" w:line="480"/>
      </w:pPr>
      <w:r>
        <w:rPr>
          <w:rFonts w:ascii="Times New Roman" w:cs="Times New Roman" w:eastAsia="Times New Roman" w:hAnsi="Times New Roman"/>
          <w:b/>
          <w:bCs/>
          <w:sz w:val="24"/>
          <w:szCs w:val="24"/>
        </w:rPr>
        <w:t xml:space="preserve">Research Questions and Hypotheses</w:t>
      </w:r>
    </w:p>
    <w:p>
      <w:pPr>
        <w:spacing w:after="0" w:before="0" w:line="480"/>
        <w:ind w:firstLine="720"/>
      </w:pPr>
      <w:r>
        <w:rPr>
          <w:rFonts w:ascii="Times New Roman" w:cs="Times New Roman" w:eastAsia="Times New Roman" w:hAnsi="Times New Roman"/>
          <w:sz w:val="24"/>
          <w:szCs w:val="24"/>
        </w:rPr>
        <w:t xml:space="preserve">The four research questions are facets of the single business problem of SLA attainment and are all answered from the same incident-level dataset. Each question is paired with a null hypothesis (H0) and an alternative hypothesis (H1), tested at a significance level of α = 0.05.</w:t>
      </w:r>
    </w:p>
    <w:p>
      <w:pPr>
        <w:pStyle w:val="Heading3"/>
        <w:spacing w:after="0" w:before="0" w:line="480"/>
      </w:pPr>
      <w:r>
        <w:rPr>
          <w:rFonts w:ascii="Times New Roman" w:cs="Times New Roman" w:eastAsia="Times New Roman" w:hAnsi="Times New Roman"/>
          <w:b/>
          <w:bCs/>
          <w:i/>
          <w:iCs/>
          <w:sz w:val="24"/>
          <w:szCs w:val="24"/>
        </w:rPr>
        <w:t xml:space="preserve">Research Question 1 (RQ1)</w:t>
      </w:r>
    </w:p>
    <w:p>
      <w:pPr>
        <w:spacing w:after="0" w:before="0" w:line="480"/>
      </w:pPr>
      <w:r>
        <w:rPr>
          <w:rFonts w:ascii="Times New Roman" w:cs="Times New Roman" w:eastAsia="Times New Roman" w:hAnsi="Times New Roman"/>
          <w:i/>
          <w:iCs/>
          <w:sz w:val="24"/>
          <w:szCs w:val="24"/>
        </w:rPr>
        <w:t xml:space="preserve">Does incident resolution time differ significantly across the four priority levels?</w:t>
      </w:r>
    </w:p>
    <w:p>
      <w:pPr>
        <w:spacing w:after="0" w:before="0" w:line="480"/>
      </w:pPr>
      <w:r>
        <w:rPr>
          <w:rFonts w:ascii="Times New Roman" w:cs="Times New Roman" w:eastAsia="Times New Roman" w:hAnsi="Times New Roman"/>
          <w:sz w:val="24"/>
          <w:szCs w:val="24"/>
        </w:rPr>
        <w:t xml:space="preserve">H0₁: The distribution of resolution time is identical across priority levels 1 (Critical) to 4 (Low).</w:t>
      </w:r>
    </w:p>
    <w:p>
      <w:pPr>
        <w:spacing w:after="0" w:before="0" w:line="480"/>
      </w:pPr>
      <w:r>
        <w:rPr>
          <w:rFonts w:ascii="Times New Roman" w:cs="Times New Roman" w:eastAsia="Times New Roman" w:hAnsi="Times New Roman"/>
          <w:sz w:val="24"/>
          <w:szCs w:val="24"/>
        </w:rPr>
        <w:t xml:space="preserve">H1₁: The distribution of resolution time differs for at least one priority level.</w:t>
      </w:r>
    </w:p>
    <w:p>
      <w:pPr>
        <w:pStyle w:val="Heading3"/>
        <w:spacing w:after="0" w:before="0" w:line="480"/>
      </w:pPr>
      <w:r>
        <w:rPr>
          <w:rFonts w:ascii="Times New Roman" w:cs="Times New Roman" w:eastAsia="Times New Roman" w:hAnsi="Times New Roman"/>
          <w:b/>
          <w:bCs/>
          <w:i/>
          <w:iCs/>
          <w:sz w:val="24"/>
          <w:szCs w:val="24"/>
        </w:rPr>
        <w:t xml:space="preserve">Research Question 2 (RQ2)</w:t>
      </w:r>
    </w:p>
    <w:p>
      <w:pPr>
        <w:spacing w:after="0" w:before="0" w:line="480"/>
      </w:pPr>
      <w:r>
        <w:rPr>
          <w:rFonts w:ascii="Times New Roman" w:cs="Times New Roman" w:eastAsia="Times New Roman" w:hAnsi="Times New Roman"/>
          <w:i/>
          <w:iCs/>
          <w:sz w:val="24"/>
          <w:szCs w:val="24"/>
        </w:rPr>
        <w:t xml:space="preserve">Is the number of reassignments associated with the likelihood of SLA breach, after controlling for priority and service category?</w:t>
      </w:r>
    </w:p>
    <w:p>
      <w:pPr>
        <w:spacing w:after="0" w:before="0" w:line="480"/>
      </w:pPr>
      <w:r>
        <w:rPr>
          <w:rFonts w:ascii="Times New Roman" w:cs="Times New Roman" w:eastAsia="Times New Roman" w:hAnsi="Times New Roman"/>
          <w:sz w:val="24"/>
          <w:szCs w:val="24"/>
        </w:rPr>
        <w:t xml:space="preserve">H0₂: Reassignment is not associated with SLA breach (odds ratio for reassignment count = 1; equivalently, β = 0).</w:t>
      </w:r>
    </w:p>
    <w:p>
      <w:pPr>
        <w:spacing w:after="0" w:before="0" w:line="480"/>
      </w:pPr>
      <w:r>
        <w:rPr>
          <w:rFonts w:ascii="Times New Roman" w:cs="Times New Roman" w:eastAsia="Times New Roman" w:hAnsi="Times New Roman"/>
          <w:sz w:val="24"/>
          <w:szCs w:val="24"/>
        </w:rPr>
        <w:t xml:space="preserve">H1₂: Reassignment is associated with SLA breach (odds ratio ≠ 1; β ≠ 0).</w:t>
      </w:r>
    </w:p>
    <w:p>
      <w:pPr>
        <w:pStyle w:val="Heading3"/>
        <w:spacing w:after="0" w:before="0" w:line="480"/>
      </w:pPr>
      <w:r>
        <w:rPr>
          <w:rFonts w:ascii="Times New Roman" w:cs="Times New Roman" w:eastAsia="Times New Roman" w:hAnsi="Times New Roman"/>
          <w:b/>
          <w:bCs/>
          <w:i/>
          <w:iCs/>
          <w:sz w:val="24"/>
          <w:szCs w:val="24"/>
        </w:rPr>
        <w:t xml:space="preserve">Research Question 3 (RQ3)</w:t>
      </w:r>
    </w:p>
    <w:p>
      <w:pPr>
        <w:spacing w:after="0" w:before="0" w:line="480"/>
      </w:pPr>
      <w:r>
        <w:rPr>
          <w:rFonts w:ascii="Times New Roman" w:cs="Times New Roman" w:eastAsia="Times New Roman" w:hAnsi="Times New Roman"/>
          <w:i/>
          <w:iCs/>
          <w:sz w:val="24"/>
          <w:szCs w:val="24"/>
        </w:rPr>
        <w:t xml:space="preserve">Do incidents resolved with reference to a knowledge-base article have a different resolution time from incidents resolved without one?</w:t>
      </w:r>
    </w:p>
    <w:p>
      <w:pPr>
        <w:spacing w:after="0" w:before="0" w:line="480"/>
      </w:pPr>
      <w:r>
        <w:rPr>
          <w:rFonts w:ascii="Times New Roman" w:cs="Times New Roman" w:eastAsia="Times New Roman" w:hAnsi="Times New Roman"/>
          <w:sz w:val="24"/>
          <w:szCs w:val="24"/>
        </w:rPr>
        <w:t xml:space="preserve">H0₃: The distribution of resolution time is the same for incidents with and without knowledge-base use.</w:t>
      </w:r>
    </w:p>
    <w:p>
      <w:pPr>
        <w:spacing w:after="0" w:before="0" w:line="480"/>
      </w:pPr>
      <w:r>
        <w:rPr>
          <w:rFonts w:ascii="Times New Roman" w:cs="Times New Roman" w:eastAsia="Times New Roman" w:hAnsi="Times New Roman"/>
          <w:sz w:val="24"/>
          <w:szCs w:val="24"/>
        </w:rPr>
        <w:t xml:space="preserve">H1₃: The distribution of resolution time differs between the two groups.</w:t>
      </w:r>
    </w:p>
    <w:p>
      <w:pPr>
        <w:pStyle w:val="Heading3"/>
        <w:spacing w:after="0" w:before="0" w:line="480"/>
      </w:pPr>
      <w:r>
        <w:rPr>
          <w:rFonts w:ascii="Times New Roman" w:cs="Times New Roman" w:eastAsia="Times New Roman" w:hAnsi="Times New Roman"/>
          <w:b/>
          <w:bCs/>
          <w:i/>
          <w:iCs/>
          <w:sz w:val="24"/>
          <w:szCs w:val="24"/>
        </w:rPr>
        <w:t xml:space="preserve">Research Question 4 (RQ4)</w:t>
      </w:r>
    </w:p>
    <w:p>
      <w:pPr>
        <w:spacing w:after="0" w:before="0" w:line="480"/>
      </w:pPr>
      <w:r>
        <w:rPr>
          <w:rFonts w:ascii="Times New Roman" w:cs="Times New Roman" w:eastAsia="Times New Roman" w:hAnsi="Times New Roman"/>
          <w:i/>
          <w:iCs/>
          <w:sz w:val="24"/>
          <w:szCs w:val="24"/>
        </w:rPr>
        <w:t xml:space="preserve">Can a machine-learning classifier using only attributes available at ticket logging predict SLA breach with a significantly higher area under the ROC curve (AUC) than a priority-only baseline model?</w:t>
      </w:r>
    </w:p>
    <w:p>
      <w:pPr>
        <w:spacing w:after="0" w:before="0" w:line="480"/>
      </w:pPr>
      <w:r>
        <w:rPr>
          <w:rFonts w:ascii="Times New Roman" w:cs="Times New Roman" w:eastAsia="Times New Roman" w:hAnsi="Times New Roman"/>
          <w:sz w:val="24"/>
          <w:szCs w:val="24"/>
        </w:rPr>
        <w:t xml:space="preserve">H0₄: AUC of the best machine-learning model = AUC of the priority-only logistic regression baseline.</w:t>
      </w:r>
    </w:p>
    <w:p>
      <w:pPr>
        <w:spacing w:after="0" w:before="0" w:line="480"/>
      </w:pPr>
      <w:r>
        <w:rPr>
          <w:rFonts w:ascii="Times New Roman" w:cs="Times New Roman" w:eastAsia="Times New Roman" w:hAnsi="Times New Roman"/>
          <w:sz w:val="24"/>
          <w:szCs w:val="24"/>
        </w:rPr>
        <w:t xml:space="preserve">H1₄: AUC of the best machine-learning model &gt; AUC of the priority-only baseline.</w:t>
      </w:r>
    </w:p>
    <w:p>
      <w:pPr>
        <w:spacing w:after="0" w:before="240" w:line="480"/>
      </w:pPr>
      <w:r>
        <w:rPr>
          <w:rFonts w:ascii="Times New Roman" w:cs="Times New Roman" w:eastAsia="Times New Roman" w:hAnsi="Times New Roman"/>
          <w:b/>
          <w:bCs/>
          <w:sz w:val="24"/>
          <w:szCs w:val="24"/>
        </w:rPr>
        <w:t xml:space="preserve">Table 1</w:t>
      </w:r>
    </w:p>
    <w:p>
      <w:pPr>
        <w:spacing w:after="0" w:before="0" w:line="480"/>
      </w:pPr>
      <w:r>
        <w:rPr>
          <w:rFonts w:ascii="Times New Roman" w:cs="Times New Roman" w:eastAsia="Times New Roman" w:hAnsi="Times New Roman"/>
          <w:i/>
          <w:iCs/>
          <w:sz w:val="24"/>
          <w:szCs w:val="24"/>
        </w:rPr>
        <w:t xml:space="preserve">Summary of Research Questions, Variables, and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460"/>
        <w:gridCol w:w="3600"/>
      </w:tblGrid>
      <w:tr>
        <w:trPr>
          <w:cantSplit/>
          <w:tblHeader/>
        </w:trPr>
        <w:tc>
          <w:tcPr>
            <w:tcW w:type="dxa" w:w="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RQ</w:t>
            </w:r>
          </w:p>
        </w:tc>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Dependent variable</w:t>
            </w:r>
          </w:p>
        </w:tc>
        <w:tc>
          <w:tcPr>
            <w:tcW w:type="dxa" w:w="24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Independent variable(s)</w:t>
            </w:r>
          </w:p>
        </w:tc>
        <w:tc>
          <w:tcPr>
            <w:tcW w:type="dxa" w:w="3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Primary test / model</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Resolution time (hours)</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Priority (4 levels)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Kruskal–Wallis H test; Dunn post hoc with Holm correction</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SLA breach (0/1)</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Reassignment count; controls: priority, category</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χ² test of independence; multivariable logistic regression (Wald test)</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Resolution time (hours)</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Knowledge-base used (0/1); controls: priority, category</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Mann–Whitney U test; log-linear regression for adjusted effect</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SLA breach (0/1)</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At-logging attributes only (Table 3)</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Logistic regression, random forest, XGBoost; DeLong test on AUC</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SLA = service level agreement; AUC = area under the receiver operating characteristic curve.</w:t>
      </w:r>
    </w:p>
    <w:p>
      <w:pPr>
        <w:pStyle w:val="Heading2"/>
        <w:spacing w:after="0" w:before="0" w:line="480"/>
      </w:pPr>
      <w:r>
        <w:rPr>
          <w:rFonts w:ascii="Times New Roman" w:cs="Times New Roman" w:eastAsia="Times New Roman" w:hAnsi="Times New Roman"/>
          <w:b/>
          <w:bCs/>
          <w:sz w:val="24"/>
          <w:szCs w:val="24"/>
        </w:rPr>
        <w:t xml:space="preserve">Measurability and Feasibility</w:t>
      </w:r>
    </w:p>
    <w:p>
      <w:pPr>
        <w:spacing w:after="0" w:before="0" w:line="480"/>
        <w:ind w:firstLine="720"/>
      </w:pPr>
      <w:r>
        <w:rPr>
          <w:rFonts w:ascii="Times New Roman" w:cs="Times New Roman" w:eastAsia="Times New Roman" w:hAnsi="Times New Roman"/>
          <w:sz w:val="24"/>
          <w:szCs w:val="24"/>
        </w:rPr>
        <w:t xml:space="preserve">Every construct in Table 1 maps to a recorded field or a deterministic transformation of recorded fields, so no variable relies on judgement or survey response. The dataset is 141,712 rows by 36 columns, which fits comfortably in memory on a standard laptop, and all planned techniques are available in open-source Python libraries. The work plan in Table 5 maps each phase to the QM640 schedule and shows that the project can be completed within the 10-week window, with data preparation finished before the interim report and modelling finished before the final report draft.</w:t>
      </w:r>
    </w:p>
    <w:p>
      <w:pPr>
        <w:pStyle w:val="Heading1"/>
        <w:spacing w:after="0" w:before="0" w:line="480"/>
        <w:jc w:val="center"/>
      </w:pPr>
      <w:r>
        <w:rPr>
          <w:rFonts w:ascii="Times New Roman" w:cs="Times New Roman" w:eastAsia="Times New Roman" w:hAnsi="Times New Roman"/>
          <w:b/>
          <w:bCs/>
          <w:sz w:val="24"/>
          <w:szCs w:val="24"/>
        </w:rPr>
        <w:t xml:space="preserve">Sample Size Calculation</w:t>
      </w:r>
    </w:p>
    <w:p>
      <w:pPr>
        <w:spacing w:after="0" w:before="0" w:line="480"/>
        <w:ind w:firstLine="720"/>
      </w:pPr>
      <w:r>
        <w:rPr>
          <w:rFonts w:ascii="Times New Roman" w:cs="Times New Roman" w:eastAsia="Times New Roman" w:hAnsi="Times New Roman"/>
          <w:sz w:val="24"/>
          <w:szCs w:val="24"/>
        </w:rPr>
        <w:t xml:space="preserve">Sample sizes were calculated a priori for each research question using power analysis or a confidence-interval approach, with α = 0.05 and power (1 − β) = 0.80 throughout. Effect sizes were set at Cohen's (2013) conventional "small" thresholds so that the study is powered to detect effects that are modest but still operationally meaningful. Calculations follow the principles in Gelman and Hill (2007) and the procedures implemented in G*Power (Faul et al., 2007), and were reproduced in Python using the noncentral F, χ², and t distributions (Appendix A).</w:t>
      </w:r>
    </w:p>
    <w:p>
      <w:pPr>
        <w:spacing w:after="0" w:before="0" w:line="480"/>
        <w:ind w:firstLine="720"/>
      </w:pP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A one-way analysis of variance (ANOVA) with k = 4 groups and Cohen's f = 0.10 requires N = 1,095. Because resolution times are expected to be right-skewed, the non-parametric Kruskal–Wallis test (Kruskal &amp; Wallis, 1952) will be used. Its asymptotic relative efficiency relative to the F test is at least 0.864 for any continuous distribution, so the requirement is inflated to 1,095 / 0.864 = 1,268. The calculation assumes equal groups, but the observed groups are unequal (270 Critical, 408 High, 21,982 Moderate, and 663 Low incidents with a valid resolution time). The smallest pairwise comparison, Critical against High, can detect a standardised difference of d = 0.274 with 80% power at a Bonferroni-adjusted α of 0.05 / 6, so post hoc contrasts involving the two smallest groups are powered for small-to-medium rather than small effects. This is reported as a limitation.</w:t>
      </w:r>
    </w:p>
    <w:p>
      <w:pPr>
        <w:spacing w:after="0" w:before="0" w:line="480"/>
        <w:ind w:firstLine="720"/>
      </w:pP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A χ² test of independence on a 2 × 2 table (reassigned versus not; breached versus not) with Cohen's w = 0.10 and df = 1 requires N = 785. For the multivariable logistic regression, Green's (1991) rule of N ≥ 50 + 8m with m = 10 predictors gives N ≥ 130, so the χ² requirement is binding.</w:t>
      </w:r>
    </w:p>
    <w:p>
      <w:pPr>
        <w:spacing w:after="0" w:before="0" w:line="480"/>
        <w:ind w:firstLine="720"/>
      </w:pP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A two-sample comparison with Cohen's d = 0.20 requires 394 per group (788 in total) under equal allocation. Knowledge-base use is the minority condition: 3,419 of the 23,323 incidents with a valid resolution time used a knowledge article, against 19,904 that did not, an observed allocation of 1:5.8. Rounding up to 1:6 gives 230 and 1,380 incidents (1,610 in total), and applying the same 0.864 efficiency bound for the Mann–Whitney U test gives N = 1,864.</w:t>
      </w:r>
    </w:p>
    <w:p>
      <w:pPr>
        <w:spacing w:after="0" w:before="0" w:line="480"/>
        <w:ind w:firstLine="720"/>
      </w:pPr>
      <w:r>
        <w:rPr>
          <w:rFonts w:ascii="Times New Roman" w:cs="Times New Roman" w:eastAsia="Times New Roman" w:hAnsi="Times New Roman"/>
          <w:b/>
          <w:bCs/>
          <w:sz w:val="24"/>
          <w:szCs w:val="24"/>
        </w:rPr>
        <w:t xml:space="preserve">RQ4.</w:t>
      </w:r>
      <w:r>
        <w:rPr>
          <w:rFonts w:ascii="Times New Roman" w:cs="Times New Roman" w:eastAsia="Times New Roman" w:hAnsi="Times New Roman"/>
          <w:sz w:val="24"/>
          <w:szCs w:val="24"/>
        </w:rPr>
        <w:t xml:space="preserve"> Because the hypothesis concerns the AUC, sample size was set by the precision of the AUC estimate on the hold-out test set using the variance formula of Hanley and McNeil (1982). The observed breach prevalence is p = 0.366 (9,115 of 24,918 incidents). To estimate an AUC of 0.75 with a 95% confidence-interval half-width of e = 0.03 at this prevalence, the test set must contain 1,191 incidents (436 breaches). With 30% of incidents held out for testing, the total requirement is 1,191 / 0.30 = 3,970.</w:t>
      </w:r>
    </w:p>
    <w:p>
      <w:pPr>
        <w:spacing w:after="0" w:before="240" w:line="480"/>
      </w:pPr>
      <w:r>
        <w:rPr>
          <w:rFonts w:ascii="Times New Roman" w:cs="Times New Roman" w:eastAsia="Times New Roman" w:hAnsi="Times New Roman"/>
          <w:b/>
          <w:bCs/>
          <w:sz w:val="24"/>
          <w:szCs w:val="24"/>
        </w:rPr>
        <w:t xml:space="preserve">Table 2</w:t>
      </w:r>
    </w:p>
    <w:p>
      <w:pPr>
        <w:spacing w:after="0" w:before="0" w:line="480"/>
      </w:pPr>
      <w:r>
        <w:rPr>
          <w:rFonts w:ascii="Times New Roman" w:cs="Times New Roman" w:eastAsia="Times New Roman" w:hAnsi="Times New Roman"/>
          <w:i/>
          <w:iCs/>
          <w:sz w:val="24"/>
          <w:szCs w:val="24"/>
        </w:rPr>
        <w:t xml:space="preserve">Minimum Sample Size by Research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3660"/>
        <w:gridCol w:w="19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Research question</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Method used</w:t>
            </w:r>
          </w:p>
        </w:tc>
        <w:tc>
          <w:tcPr>
            <w:tcW w:type="dxa" w:w="36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Key parameters</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Minimum sample size (N)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Power: one-way ANOVA, adjusted for Kruskal–Wallis</w:t>
            </w:r>
          </w:p>
        </w:tc>
        <w:tc>
          <w:tcPr>
            <w:tcW w:type="dxa" w:w="3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α = 0.05, power = 0.80, f = 0.10, k = 4, ARE = 0.864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1,268</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Power: χ² test of independence (Green's rule check for logistic regression)</w:t>
            </w:r>
          </w:p>
        </w:tc>
        <w:tc>
          <w:tcPr>
            <w:tcW w:type="dxa" w:w="3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α = 0.05, power = 0.80, w = 0.10, df = 1 (Green: m = 10 → 130)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785</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Power: two-sample t, adjusted for Mann–Whitney U</w:t>
            </w:r>
          </w:p>
        </w:tc>
        <w:tc>
          <w:tcPr>
            <w:tcW w:type="dxa" w:w="3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α = 0.05 (two-tailed), power = 0.80, d = 0.20, allocation 1:6 (observed 1:5.8), ARE = 0.864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1,864</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Confidence interval for AUC (Hanley &amp; McNeil, 1982)</w:t>
            </w:r>
          </w:p>
        </w:tc>
        <w:tc>
          <w:tcPr>
            <w:tcW w:type="dxa" w:w="3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AUC = 0.75, 95% CI, e = 0.03, p = 0.366 (observed), 30% hold-out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3,970 (1,191 in test set)</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ARE = asymptotic relative efficiency; e = confidence-interval half-width; p = breach prevalence observed in the incident-level data.</w:t>
      </w:r>
    </w:p>
    <w:p>
      <w:pPr>
        <w:spacing w:after="0" w:before="0" w:line="480"/>
        <w:ind w:firstLine="720"/>
      </w:pPr>
      <w:r>
        <w:rPr>
          <w:rFonts w:ascii="Times New Roman" w:cs="Times New Roman" w:eastAsia="Times New Roman" w:hAnsi="Times New Roman"/>
          <w:sz w:val="24"/>
          <w:szCs w:val="24"/>
        </w:rPr>
        <w:t xml:space="preserve">To ensure adequate statistical power across all analyses, the final sample size is the maximum of the minimum sample sizes, N = 3,970, driven by RQ4. The dataset contains 24,918 incidents, 6.3 times this requirement, so the study will use all incidents rather than a sample: 24,918 for RQ2 and RQ4, and the 23,323 with a valid resolution time for RQ1 and RQ3. A temporal 70/30 split leaves a test set of about 7,475 incidents, 6.3 times the 1,191 required.</w:t>
      </w:r>
    </w:p>
    <w:p>
      <w:pPr>
        <w:pStyle w:val="Heading1"/>
        <w:spacing w:after="0" w:before="0" w:line="480"/>
        <w:jc w:val="center"/>
      </w:pPr>
      <w:r>
        <w:rPr>
          <w:rFonts w:ascii="Times New Roman" w:cs="Times New Roman" w:eastAsia="Times New Roman" w:hAnsi="Times New Roman"/>
          <w:b/>
          <w:bCs/>
          <w:sz w:val="24"/>
          <w:szCs w:val="24"/>
        </w:rPr>
        <w:t xml:space="preserve">Data Description</w:t>
      </w:r>
    </w:p>
    <w:p>
      <w:pPr>
        <w:pStyle w:val="Heading2"/>
        <w:spacing w:after="0" w:before="0" w:line="480"/>
      </w:pPr>
      <w:r>
        <w:rPr>
          <w:rFonts w:ascii="Times New Roman" w:cs="Times New Roman" w:eastAsia="Times New Roman" w:hAnsi="Times New Roman"/>
          <w:b/>
          <w:bCs/>
          <w:sz w:val="24"/>
          <w:szCs w:val="24"/>
        </w:rPr>
        <w:t xml:space="preserve">Source and Access</w:t>
      </w:r>
    </w:p>
    <w:p>
      <w:pPr>
        <w:spacing w:after="0" w:before="0" w:line="480"/>
        <w:ind w:firstLine="720"/>
      </w:pPr>
      <w:r>
        <w:rPr>
          <w:rFonts w:ascii="Times New Roman" w:cs="Times New Roman" w:eastAsia="Times New Roman" w:hAnsi="Times New Roman"/>
          <w:sz w:val="24"/>
          <w:szCs w:val="24"/>
        </w:rPr>
        <w:t xml:space="preserve">The data is the Incident Management Process Enriched Event Log donated to the University of California, Irvine (UCI) Machine Learning Repository by Amaral et al. (2018b), available at https://archive.ics.uci.edu/dataset/498/incident+management+process+enriched+event+log (DOI 10.24432/C57S4H). It was extracted from the audit system of a ServiceNow instance used by an IT company and enriched with data from the platform's relational database. It is real operational data: it is not synthetic and is not sourced from Kaggle. The complete data and all code will be published in a public GitHub repository, https://github.com/binesh29/QM640_data_analytics_capstone, containing the raw file, the incident-level analytical file, notebooks for each research question, and a README with the folder tree.</w:t>
      </w:r>
    </w:p>
    <w:p>
      <w:pPr>
        <w:pStyle w:val="Heading2"/>
        <w:spacing w:after="0" w:before="0" w:line="480"/>
      </w:pPr>
      <w:r>
        <w:rPr>
          <w:rFonts w:ascii="Times New Roman" w:cs="Times New Roman" w:eastAsia="Times New Roman" w:hAnsi="Times New Roman"/>
          <w:b/>
          <w:bCs/>
          <w:sz w:val="24"/>
          <w:szCs w:val="24"/>
        </w:rPr>
        <w:t xml:space="preserve">Data Ethics</w:t>
      </w:r>
    </w:p>
    <w:p>
      <w:pPr>
        <w:spacing w:after="0" w:before="0" w:line="480"/>
        <w:ind w:firstLine="720"/>
      </w:pPr>
      <w:r>
        <w:rPr>
          <w:rFonts w:ascii="Times New Roman" w:cs="Times New Roman" w:eastAsia="Times New Roman" w:hAnsi="Times New Roman"/>
          <w:sz w:val="24"/>
          <w:szCs w:val="24"/>
        </w:rPr>
        <w:t xml:space="preserve">The dataset is released under a Creative Commons Attribution 4.0 International (CC BY 4.0) licence, which permits reuse and redistribution with attribution; it will be cited wherever it is used or shared. Personal and organisational identifiers such as caller, analyst, location, and support group are replaced by the donors with anonymised labels such as Caller 2403 or Group 56, and the study involves no interaction with human participants and no attempt to re-identify individuals. The data is therefore available and was ethically sourced. Confirmation that no additional institutional review is required will be sought from the mentor.</w:t>
      </w:r>
    </w:p>
    <w:p>
      <w:pPr>
        <w:pStyle w:val="Heading2"/>
        <w:spacing w:after="0" w:before="0" w:line="480"/>
      </w:pPr>
      <w:r>
        <w:rPr>
          <w:rFonts w:ascii="Times New Roman" w:cs="Times New Roman" w:eastAsia="Times New Roman" w:hAnsi="Times New Roman"/>
          <w:b/>
          <w:bCs/>
          <w:sz w:val="24"/>
          <w:szCs w:val="24"/>
        </w:rPr>
        <w:t xml:space="preserve">Structure of the Data</w:t>
      </w:r>
    </w:p>
    <w:p>
      <w:pPr>
        <w:spacing w:after="0" w:before="0" w:line="480"/>
        <w:ind w:firstLine="720"/>
      </w:pPr>
      <w:r>
        <w:rPr>
          <w:rFonts w:ascii="Times New Roman" w:cs="Times New Roman" w:eastAsia="Times New Roman" w:hAnsi="Times New Roman"/>
          <w:sz w:val="24"/>
          <w:szCs w:val="24"/>
        </w:rPr>
        <w:t xml:space="preserve">The raw file is a single comma-separated table of 141,712 rows and 36 columns. Each row is an event, that is, the state of an incident after an update, and the column number identifies the incident. Loading the file confirmed 141,712 rows, 36 columns, and 24,918 distinct incidents, with missing values coded as a question mark. The incident_state variable takes eight named levels (New, Active, Awaiting User Info, Awaiting Vendor, Awaiting Problem, Awaiting Evidence, Resolved, and Closed) plus an anomalous value of -100 on 5 rows, and every incident ends in the Closed state, so each incident appears on several rows (5.7 on average). Incidents were opened between 29 February 2016 and 16 February 2017, but 98.1% (24,437) were opened between March and May 2016. Table 3 is the data dictionary for all 36 source variables and the derived variables used in the analysis.</w:t>
      </w:r>
    </w:p>
    <w:p>
      <w:pPr>
        <w:spacing w:after="0" w:before="240" w:line="480"/>
      </w:pPr>
      <w:r>
        <w:rPr>
          <w:rFonts w:ascii="Times New Roman" w:cs="Times New Roman" w:eastAsia="Times New Roman" w:hAnsi="Times New Roman"/>
          <w:b/>
          <w:bCs/>
          <w:sz w:val="24"/>
          <w:szCs w:val="24"/>
        </w:rPr>
        <w:t xml:space="preserve">Table 3</w:t>
      </w:r>
    </w:p>
    <w:p>
      <w:pPr>
        <w:spacing w:after="0" w:before="0" w:line="480"/>
      </w:pPr>
      <w:r>
        <w:rPr>
          <w:rFonts w:ascii="Times New Roman" w:cs="Times New Roman" w:eastAsia="Times New Roman" w:hAnsi="Times New Roman"/>
          <w:i/>
          <w:iCs/>
          <w:sz w:val="24"/>
          <w:szCs w:val="24"/>
        </w:rPr>
        <w:t xml:space="preserve">Data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3860"/>
        <w:gridCol w:w="2300"/>
      </w:tblGrid>
      <w:tr>
        <w:trPr>
          <w:cantSplit/>
          <w:tblHeader/>
        </w:trPr>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Variable</w:t>
            </w:r>
          </w:p>
        </w:tc>
        <w:tc>
          <w:tcPr>
            <w:tcW w:type="dxa" w:w="1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Type</w:t>
            </w:r>
          </w:p>
        </w:tc>
        <w:tc>
          <w:tcPr>
            <w:tcW w:type="dxa" w:w="38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Description (source: UCI metadata)</w:t>
            </w:r>
          </w:p>
        </w:tc>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Use in study</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number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Incident identifier (24,918 values)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Unit of analysis key</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incident_state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Categorical</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Eight levels controlling state transitions from opening to closure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Select final record per incident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active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Boolean</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Whether the record is active or closed/cancelled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Filter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reassignment_count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Integer (count)</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Times the support group or analyst changed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RQ2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reopen_count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Integer (count)</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Times the resolution was rejected by the caller</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Descriptive; excluded from RQ4</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sys_mod_count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Integer (count)</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Number of incident updates to that moment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Descriptive; excluded from RQ4</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made_sla</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Boolean</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Whether the incident exceeded the target SLA (source wording)</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Defines RQ2/RQ4 outcome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caller_id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Anonymised affected user</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Frequency-encoded (RQ4)</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opened_by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Anonymised user who reported the incident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opened_at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Datetime</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 and time the incident was opened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Start time; hour/day features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sys_created_by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User who registered the incident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sys_created_at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Datetime</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System creation date and time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Data-quality check</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sys_updated_by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User who made the update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sys_updated_at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Datetime</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System update date and time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Order events; pick final record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contact_type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Categorical</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Channel by which the incident was reported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location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Anonymised affected location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 (encoded)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category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Categorical</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First-level description of the affected service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Control (RQ2, RQ3); 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subcategory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Categorical</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Second-level description of the affected service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u_symptom</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Categorical</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User perception of service availability</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cmdb_ci</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Affected configuration item (optional)</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Missingness flag (RQ4)</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impact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Ordinal (1–3)</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 High, 2 Medium, 3 Low</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urgency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Ordinal (1–3)</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 High, 2 Medium, 3 Low, as informed by user</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priority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Ordinal (1–4)</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Calculated from impact and urgency</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RQ1 factor; control; RQ4 baseline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assignment_group</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Anonymised support group in charge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 (initial group)</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assigned_to</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Anonymised analyst in charge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knowledge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Boolean</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Whether a knowledge-base document was used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RQ3 factor; excluded from RQ4</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u_priority_confirmation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Boolean</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Whether the priority was double-checked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notify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Categorical</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Whether notifications were generated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predictor</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problem_id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Associated problem record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rfc</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Associated change request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vendor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Vendor in charge of the incident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caused_by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Change request that caused the incident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closed_code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Resolution code (17 values; listed as close_code in UCI metadata)</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Descriptive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resolved_by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ID</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User who resolved the incident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Not used</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resolved_at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Datetime</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 and time of user resolution (target)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End time for resolution time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closed_at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Datetime</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Date and time of closure (target)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Sensitivity analysis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Derived:</w:t>
            </w:r>
            <w:r>
              <w:rPr>
                <w:rFonts w:ascii="Times New Roman" w:cs="Times New Roman" w:eastAsia="Times New Roman" w:hAnsi="Times New Roman"/>
                <w:sz w:val="20"/>
                <w:szCs w:val="20"/>
              </w:rPr>
              <w:t xml:space="preserve"> resolution_hours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Continuous (hours)</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(resolved_at − opened_at) in hours, from final record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RQ1, RQ3 outcome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Derived:</w:t>
            </w:r>
            <w:r>
              <w:rPr>
                <w:rFonts w:ascii="Times New Roman" w:cs="Times New Roman" w:eastAsia="Times New Roman" w:hAnsi="Times New Roman"/>
                <w:sz w:val="20"/>
                <w:szCs w:val="20"/>
              </w:rPr>
              <w:t xml:space="preserve"> sla_breach</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Binary (0/1)</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 if made_sla is false on the final record, else 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RQ2, RQ4 outcome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Derived:</w:t>
            </w:r>
            <w:r>
              <w:rPr>
                <w:rFonts w:ascii="Times New Roman" w:cs="Times New Roman" w:eastAsia="Times New Roman" w:hAnsi="Times New Roman"/>
                <w:sz w:val="20"/>
                <w:szCs w:val="20"/>
              </w:rPr>
              <w:t xml:space="preserve"> reassigned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Binary (0/1)</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 if reassignment_count ≥ 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RQ2 χ² test</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ID fields are anonymised text labels. The UCI description of made_sla is worded ambiguously; the data confirms that true means the SLA was met, because incidents flagged true have a median resolution time of 1.1 hours against 201.7 hours for incidents flagged false.</w:t>
      </w:r>
    </w:p>
    <w:p>
      <w:pPr>
        <w:pStyle w:val="Heading2"/>
        <w:spacing w:after="0" w:before="0" w:line="480"/>
      </w:pPr>
      <w:r>
        <w:rPr>
          <w:rFonts w:ascii="Times New Roman" w:cs="Times New Roman" w:eastAsia="Times New Roman" w:hAnsi="Times New Roman"/>
          <w:b/>
          <w:bCs/>
          <w:sz w:val="24"/>
          <w:szCs w:val="24"/>
        </w:rPr>
        <w:t xml:space="preserve">Data Preparation</w:t>
      </w:r>
    </w:p>
    <w:p>
      <w:pPr>
        <w:spacing w:after="0" w:before="0" w:line="480"/>
        <w:ind w:firstLine="720"/>
      </w:pPr>
      <w:r>
        <w:rPr>
          <w:rFonts w:ascii="Times New Roman" w:cs="Times New Roman" w:eastAsia="Times New Roman" w:hAnsi="Times New Roman"/>
          <w:sz w:val="24"/>
          <w:szCs w:val="24"/>
        </w:rPr>
        <w:t xml:space="preserve">Preparation follows five steps. First, the missing-value code is converted to missing values and timestamps are parsed. Second, events are sorted by incident and update time, and two records are retained per incident: the first record, which holds the attributes known at logging and supplies the RQ4 predictors, and the final record, which holds the accumulated counts and outcomes used in RQ1 to RQ3. Third, resolution time is derived in hours; 1,556 incidents with no resolution timestamp and 39 with a zero duration are excluded from RQ1 and RQ3, leaving 23,323 incidents, while all 24,918 are retained for RQ2 and RQ4. Fourth, high-cardinality identifiers are frequency-encoded and rare categories are grouped. Fifth, the incident-level file is profiled for missingness, outliers, and class balance, and the exclusions are reported in a flow table so that the final analytical N is transparent.</w:t>
      </w:r>
    </w:p>
    <w:p>
      <w:pPr>
        <w:pStyle w:val="Heading2"/>
        <w:spacing w:after="0" w:before="0" w:line="480"/>
      </w:pPr>
      <w:r>
        <w:rPr>
          <w:rFonts w:ascii="Times New Roman" w:cs="Times New Roman" w:eastAsia="Times New Roman" w:hAnsi="Times New Roman"/>
          <w:b/>
          <w:bCs/>
          <w:sz w:val="24"/>
          <w:szCs w:val="24"/>
        </w:rPr>
        <w:t xml:space="preserve">Preliminary Profile of the Data</w:t>
      </w:r>
    </w:p>
    <w:p>
      <w:pPr>
        <w:spacing w:after="0" w:before="0" w:line="480"/>
        <w:ind w:firstLine="720"/>
      </w:pPr>
      <w:r>
        <w:rPr>
          <w:rFonts w:ascii="Times New Roman" w:cs="Times New Roman" w:eastAsia="Times New Roman" w:hAnsi="Times New Roman"/>
          <w:sz w:val="24"/>
          <w:szCs w:val="24"/>
        </w:rPr>
        <w:t xml:space="preserve">A first descriptive pass on the incident-level file, summarised in Table 4, shapes the analysis plan. Of the 24,918 incidents, 9,115 (36.6%) breached their SLA. Priority is highly imbalanced: 94.2% of incidents are Moderate. Breach rates are 98.1% for Critical and 99.5% for High incidents, against 35.5% for Moderate and 15.9% for Low, and median resolution time is longest for Critical incidents (80.2 hours) and shortest for Low incidents (6.0 hours). Incidents reassigned at least once breached 54.4% of the time, against 21.6% for those never reassigned. Incidents that used a knowledge article had a median resolution time of 77.6 hours, against 13.2 hours for those that did not. The contact channel is 99.1% telephone, so it is used only as a control and not as a research question. These are unadjusted descriptive figures; they are not hypothesis tests, and the formal tests are specified in the Analytic Approach.</w:t>
      </w:r>
    </w:p>
    <w:p>
      <w:pPr>
        <w:spacing w:after="0" w:before="240" w:line="480"/>
      </w:pPr>
      <w:r>
        <w:rPr>
          <w:rFonts w:ascii="Times New Roman" w:cs="Times New Roman" w:eastAsia="Times New Roman" w:hAnsi="Times New Roman"/>
          <w:b/>
          <w:bCs/>
          <w:sz w:val="24"/>
          <w:szCs w:val="24"/>
        </w:rPr>
        <w:t xml:space="preserve">Table 4</w:t>
      </w:r>
    </w:p>
    <w:p>
      <w:pPr>
        <w:spacing w:after="0" w:before="0" w:line="480"/>
      </w:pPr>
      <w:r>
        <w:rPr>
          <w:rFonts w:ascii="Times New Roman" w:cs="Times New Roman" w:eastAsia="Times New Roman" w:hAnsi="Times New Roman"/>
          <w:i/>
          <w:iCs/>
          <w:sz w:val="24"/>
          <w:szCs w:val="24"/>
        </w:rPr>
        <w:t xml:space="preserve">Incident-Level Profile by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800"/>
        <w:gridCol w:w="266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Priority (final record)</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Incidents</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Share of incidents</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SLA breach rate</w:t>
            </w:r>
          </w:p>
        </w:tc>
        <w:tc>
          <w:tcPr>
            <w:tcW w:type="dxa" w:w="26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Median resolution time, hours (n valid)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 – Critical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270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98.1%</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80.2 (270)</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2 – High</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408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99.5%</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38.2 (408)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3 – Moderate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23,466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94.2%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35.5%</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21.7 (21,982)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4 – Low</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774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3.1%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15.9%</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6.0 (663)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All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24,918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100%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36.6%</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22.2 (23,323)</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Computed from the incident-level file (final record per incident). Resolution time excludes 1,556 incidents with no resolution timestamp and 39 with zero duration.</w:t>
      </w:r>
    </w:p>
    <w:p>
      <w:pPr>
        <w:pStyle w:val="Heading1"/>
        <w:spacing w:after="0" w:before="0" w:line="480"/>
        <w:jc w:val="center"/>
      </w:pPr>
      <w:r>
        <w:rPr>
          <w:rFonts w:ascii="Times New Roman" w:cs="Times New Roman" w:eastAsia="Times New Roman" w:hAnsi="Times New Roman"/>
          <w:b/>
          <w:bCs/>
          <w:sz w:val="24"/>
          <w:szCs w:val="24"/>
        </w:rPr>
        <w:t xml:space="preserve">Analytic Approach</w:t>
      </w:r>
    </w:p>
    <w:p>
      <w:pPr>
        <w:spacing w:after="0" w:before="0" w:line="480"/>
        <w:ind w:firstLine="720"/>
      </w:pPr>
      <w:r>
        <w:rPr>
          <w:rFonts w:ascii="Times New Roman" w:cs="Times New Roman" w:eastAsia="Times New Roman" w:hAnsi="Times New Roman"/>
          <w:sz w:val="24"/>
          <w:szCs w:val="24"/>
        </w:rPr>
        <w:t xml:space="preserve">The analysis moves from description to inference to prediction. Descriptive statistics (median, interquartile range, and breach rate) are reported for every variable, overall and by priority. RQ1 to RQ3 use hypothesis tests with effect sizes so that statistical significance, which is easy to achieve with 24,918 observations, is always reported alongside practical magnitude. RQ4 uses supervised machine learning with a time-ordered hold-out set. All tests are two-tailed at α = 0.05 unless stated.</w:t>
      </w:r>
    </w:p>
    <w:p>
      <w:pPr>
        <w:pStyle w:val="Heading2"/>
        <w:spacing w:after="0" w:before="0" w:line="480"/>
      </w:pPr>
      <w:r>
        <w:rPr>
          <w:rFonts w:ascii="Times New Roman" w:cs="Times New Roman" w:eastAsia="Times New Roman" w:hAnsi="Times New Roman"/>
          <w:b/>
          <w:bCs/>
          <w:sz w:val="24"/>
          <w:szCs w:val="24"/>
        </w:rPr>
        <w:t xml:space="preserve">Solution to RQ1: Priority and Resolution Time</w:t>
      </w:r>
    </w:p>
    <w:p>
      <w:pPr>
        <w:spacing w:after="0" w:before="0" w:line="480"/>
        <w:ind w:firstLine="720"/>
      </w:pPr>
      <w:r>
        <w:rPr>
          <w:rFonts w:ascii="Times New Roman" w:cs="Times New Roman" w:eastAsia="Times New Roman" w:hAnsi="Times New Roman"/>
          <w:b/>
          <w:bCs/>
          <w:sz w:val="24"/>
          <w:szCs w:val="24"/>
        </w:rPr>
        <w:t xml:space="preserve">Technique.</w:t>
      </w:r>
      <w:r>
        <w:rPr>
          <w:rFonts w:ascii="Times New Roman" w:cs="Times New Roman" w:eastAsia="Times New Roman" w:hAnsi="Times New Roman"/>
          <w:sz w:val="24"/>
          <w:szCs w:val="24"/>
        </w:rPr>
        <w:t xml:space="preserve"> Resolution time will be compared across the four priority levels using the Kruskal–Wallis H test (Kruskal &amp; Wallis, 1952), which does not assume normality. If H0₁ is rejected, Dunn's pairwise tests with Holm correction will identify which levels differ. As a robustness check, a one-way ANOVA on log-transformed resolution time will be reported.</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The test statistic is</w:t>
      </w:r>
    </w:p>
    <w:p>
      <w:pPr>
        <w:spacing w:after="0" w:before="0" w:line="480"/>
        <w:jc w:val="center"/>
      </w:pP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[12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 × Σ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ⱼ²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ⱼ) − 3(</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w:t>
      </w:r>
    </w:p>
    <w:p>
      <w:pPr>
        <w:spacing w:after="0" w:before="0" w:line="480"/>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ⱼ is the sum of ranks in group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ⱼ is its size. Effect size is epsilon-squared, ε²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 interpreted against thresholds of 0.01 (small), 0.08 (medium), and 0.26 (large). Group medians will be reported with 95% bootstrap confidence intervals.</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A ranked view of how much longer each priority takes to resolve, which tests whether the priority scheme actually differentiates service in practice.</w:t>
      </w:r>
    </w:p>
    <w:p>
      <w:pPr>
        <w:pStyle w:val="Heading2"/>
        <w:spacing w:after="0" w:before="0" w:line="480"/>
      </w:pPr>
      <w:r>
        <w:rPr>
          <w:rFonts w:ascii="Times New Roman" w:cs="Times New Roman" w:eastAsia="Times New Roman" w:hAnsi="Times New Roman"/>
          <w:b/>
          <w:bCs/>
          <w:sz w:val="24"/>
          <w:szCs w:val="24"/>
        </w:rPr>
        <w:t xml:space="preserve">Solution to RQ2: Reassignment and SLA Breach</w:t>
      </w:r>
    </w:p>
    <w:p>
      <w:pPr>
        <w:spacing w:after="0" w:before="0" w:line="480"/>
        <w:ind w:firstLine="720"/>
      </w:pPr>
      <w:r>
        <w:rPr>
          <w:rFonts w:ascii="Times New Roman" w:cs="Times New Roman" w:eastAsia="Times New Roman" w:hAnsi="Times New Roman"/>
          <w:b/>
          <w:bCs/>
          <w:sz w:val="24"/>
          <w:szCs w:val="24"/>
        </w:rPr>
        <w:t xml:space="preserve">Technique.</w:t>
      </w:r>
      <w:r>
        <w:rPr>
          <w:rFonts w:ascii="Times New Roman" w:cs="Times New Roman" w:eastAsia="Times New Roman" w:hAnsi="Times New Roman"/>
          <w:sz w:val="24"/>
          <w:szCs w:val="24"/>
        </w:rPr>
        <w:t xml:space="preserve"> A χ² test of independence will test the unadjusted association between being reassigned at least once and SLA breach. A multivariable logistic regression will then estimate the adjusted association:</w:t>
      </w:r>
    </w:p>
    <w:p>
      <w:pPr>
        <w:spacing w:after="0" w:before="0" w:line="480"/>
        <w:jc w:val="center"/>
      </w:pPr>
      <w:r>
        <w:rPr>
          <w:rFonts w:ascii="Times New Roman" w:cs="Times New Roman" w:eastAsia="Times New Roman" w:hAnsi="Times New Roman"/>
          <w:sz w:val="24"/>
          <w:szCs w:val="24"/>
        </w:rPr>
        <w:t xml:space="preserve">logit(</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(breach = 1)) = β₀ + β₁ × reassignment_count + β₂ × priority + β₃ × category</w:t>
      </w:r>
    </w:p>
    <w:p>
      <w:pPr>
        <w:spacing w:after="0" w:before="0" w:line="480"/>
      </w:pPr>
      <w:r>
        <w:rPr>
          <w:rFonts w:ascii="Times New Roman" w:cs="Times New Roman" w:eastAsia="Times New Roman" w:hAnsi="Times New Roman"/>
          <w:sz w:val="24"/>
          <w:szCs w:val="24"/>
        </w:rPr>
        <w:t xml:space="preserve">H0₂ is tested with the Wald test on β₁. Multicollinearity will be checked with variance inflation factors, and a sensitivity model will treat reassignment count as categorical (0, 1, 2, 3+) to check for non-linearity.</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The adjusted odds ratio OR = e^β₁ with its 95% confidence interval, e^(β₁ ± 1.96 × SE(β₁)); the phi coefficient φ = √(χ²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for the 2 × 2 table; and McFadden's pseudo-R² = 1 − ln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(model) / ln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(null).</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An estimate of how much each additional reassignment multiplies the odds of breach, which translates directly into the business value of getting a ticket to the right group first time.</w:t>
      </w:r>
    </w:p>
    <w:p>
      <w:pPr>
        <w:pStyle w:val="Heading2"/>
        <w:spacing w:after="0" w:before="0" w:line="480"/>
      </w:pPr>
      <w:r>
        <w:rPr>
          <w:rFonts w:ascii="Times New Roman" w:cs="Times New Roman" w:eastAsia="Times New Roman" w:hAnsi="Times New Roman"/>
          <w:b/>
          <w:bCs/>
          <w:sz w:val="24"/>
          <w:szCs w:val="24"/>
        </w:rPr>
        <w:t xml:space="preserve">Solution to RQ3: Knowledge-Base Use and Resolution Time</w:t>
      </w:r>
    </w:p>
    <w:p>
      <w:pPr>
        <w:spacing w:after="0" w:before="0" w:line="480"/>
        <w:ind w:firstLine="720"/>
      </w:pPr>
      <w:r>
        <w:rPr>
          <w:rFonts w:ascii="Times New Roman" w:cs="Times New Roman" w:eastAsia="Times New Roman" w:hAnsi="Times New Roman"/>
          <w:b/>
          <w:bCs/>
          <w:sz w:val="24"/>
          <w:szCs w:val="24"/>
        </w:rPr>
        <w:t xml:space="preserve">Technique.</w:t>
      </w:r>
      <w:r>
        <w:rPr>
          <w:rFonts w:ascii="Times New Roman" w:cs="Times New Roman" w:eastAsia="Times New Roman" w:hAnsi="Times New Roman"/>
          <w:sz w:val="24"/>
          <w:szCs w:val="24"/>
        </w:rPr>
        <w:t xml:space="preserve"> Resolution time will be compared between incidents with and without knowledge-base use using the Mann–Whitney U test. Because knowledge-base use may be more common for some categories or priorities, an adjusted estimate will be obtained from a log-linear regression of log(resolution_hours) on knowledge use, priority, and category, and the test will be repeated within each priority stratum.</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The rank-biserial correlation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1 − 2</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₁</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₂); the Hodges–Lehmann estimate of the median difference with its 95% confidence interval; and, from the regression, the adjusted percentage change in resolution time, (e^β − 1) × 100%.</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Evidence on whether knowledge-base use is associated with a difference in resolution time, supporting or challenging investment in knowledge management. The descriptive data shows a median of 77.6 hours with knowledge use against 13.2 hours without, the opposite of the intuitive expectation, which suggests that knowledge articles are consulted mainly for harder incidents. This is why the adjusted and stratified analyses are essential, and why results are reported as association rather than causation.</w:t>
      </w:r>
    </w:p>
    <w:p>
      <w:pPr>
        <w:pStyle w:val="Heading2"/>
        <w:spacing w:after="0" w:before="0" w:line="480"/>
      </w:pPr>
      <w:r>
        <w:rPr>
          <w:rFonts w:ascii="Times New Roman" w:cs="Times New Roman" w:eastAsia="Times New Roman" w:hAnsi="Times New Roman"/>
          <w:b/>
          <w:bCs/>
          <w:sz w:val="24"/>
          <w:szCs w:val="24"/>
        </w:rPr>
        <w:t xml:space="preserve">Solution to RQ4: Predicting SLA Breach at Logging</w:t>
      </w:r>
    </w:p>
    <w:p>
      <w:pPr>
        <w:spacing w:after="0" w:before="0" w:line="480"/>
        <w:ind w:firstLine="720"/>
      </w:pPr>
      <w:r>
        <w:rPr>
          <w:rFonts w:ascii="Times New Roman" w:cs="Times New Roman" w:eastAsia="Times New Roman" w:hAnsi="Times New Roman"/>
          <w:b/>
          <w:bCs/>
          <w:sz w:val="24"/>
          <w:szCs w:val="24"/>
        </w:rPr>
        <w:t xml:space="preserve">Technique.</w:t>
      </w:r>
      <w:r>
        <w:rPr>
          <w:rFonts w:ascii="Times New Roman" w:cs="Times New Roman" w:eastAsia="Times New Roman" w:hAnsi="Times New Roman"/>
          <w:sz w:val="24"/>
          <w:szCs w:val="24"/>
        </w:rPr>
        <w:t xml:space="preserve"> Three classifiers will be trained on attributes available at logging (Table 3): regularised logistic regression, random forest (Breiman, 2001), and gradient-boosted trees using XGBoost (Chen &amp; Guestrin, 2016). The baseline is a logistic regression using priority alone, which represents the rule operations teams already apply. To mimic deployment, incidents will be ordered by opening time; the earliest 70% form the training set and the latest 30% the test set (the cut falls on 2 May 2016). Hyperparameters will be tuned by five-fold cross-validation within the training set only. Class imbalance will be handled by class weighting, and the decision threshold will be chosen on the training folds. Permutation feature importance will be used to interpret the final model. The knowledge flag is identical on the first and final record for 99.2% of incidents, so a sensitivity model that adds it will be reported separately from the main model. H0₄ will be tested with the DeLong test for correlated ROC curves (DeLong et al., 1988), since both models are scored on the same test incidents.</w:t>
      </w:r>
    </w:p>
    <w:p>
      <w:pPr>
        <w:spacing w:after="0" w:before="0" w:line="480"/>
      </w:pPr>
      <w:r>
        <w:rPr>
          <w:rFonts w:ascii="Times New Roman" w:cs="Times New Roman" w:eastAsia="Times New Roman" w:hAnsi="Times New Roman"/>
          <w:b/>
          <w:bCs/>
          <w:sz w:val="24"/>
          <w:szCs w:val="24"/>
        </w:rPr>
        <w:t xml:space="preserve">Evaluation metrics.</w:t>
      </w:r>
      <w:r>
        <w:rPr>
          <w:rFonts w:ascii="Times New Roman" w:cs="Times New Roman" w:eastAsia="Times New Roman" w:hAnsi="Times New Roman"/>
          <w:sz w:val="24"/>
          <w:szCs w:val="24"/>
        </w:rPr>
        <w:t xml:space="preserve"> With TP, FP, TN, and FN as the confusion-matrix counts:</w:t>
      </w:r>
    </w:p>
    <w:p>
      <w:pPr>
        <w:spacing w:after="0" w:before="0" w:line="480"/>
        <w:jc w:val="center"/>
      </w:pPr>
      <w:r>
        <w:rPr>
          <w:rFonts w:ascii="Times New Roman" w:cs="Times New Roman" w:eastAsia="Times New Roman" w:hAnsi="Times New Roman"/>
          <w:sz w:val="24"/>
          <w:szCs w:val="24"/>
        </w:rPr>
        <w:t xml:space="preserve">Precision = TP / (TP + FP)     Recall = TP / (TP + FN)</w:t>
      </w:r>
    </w:p>
    <w:p>
      <w:pPr>
        <w:spacing w:after="0" w:before="0" w:line="480"/>
        <w:jc w:val="center"/>
      </w:pPr>
      <w:r>
        <w:rPr>
          <w:rFonts w:ascii="Times New Roman" w:cs="Times New Roman" w:eastAsia="Times New Roman" w:hAnsi="Times New Roman"/>
          <w:sz w:val="24"/>
          <w:szCs w:val="24"/>
        </w:rPr>
        <w:t xml:space="preserve">F1 = 2 × Precision × Recall / (Precision + Recall)</w:t>
      </w:r>
    </w:p>
    <w:p>
      <w:pPr>
        <w:spacing w:after="0" w:before="0" w:line="480"/>
        <w:jc w:val="center"/>
      </w:pPr>
      <w:r>
        <w:rPr>
          <w:rFonts w:ascii="Times New Roman" w:cs="Times New Roman" w:eastAsia="Times New Roman" w:hAnsi="Times New Roman"/>
          <w:sz w:val="24"/>
          <w:szCs w:val="24"/>
        </w:rPr>
        <w:t xml:space="preserve">AUC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(score of a breached incident &gt; score of a non-breached incident)</w:t>
      </w:r>
    </w:p>
    <w:p>
      <w:pPr>
        <w:spacing w:after="0" w:before="0" w:line="480"/>
        <w:jc w:val="center"/>
      </w:pPr>
      <w:r>
        <w:rPr>
          <w:rFonts w:ascii="Times New Roman" w:cs="Times New Roman" w:eastAsia="Times New Roman" w:hAnsi="Times New Roman"/>
          <w:sz w:val="24"/>
          <w:szCs w:val="24"/>
        </w:rPr>
        <w:t xml:space="preserve">Brier score = (1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Σ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ᵢ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ᵢ)²</w:t>
      </w:r>
    </w:p>
    <w:p>
      <w:pPr>
        <w:spacing w:after="0" w:before="0" w:line="480"/>
      </w:pPr>
      <w:r>
        <w:rPr>
          <w:rFonts w:ascii="Times New Roman" w:cs="Times New Roman" w:eastAsia="Times New Roman" w:hAnsi="Times New Roman"/>
          <w:sz w:val="24"/>
          <w:szCs w:val="24"/>
        </w:rPr>
        <w:t xml:space="preserve">AUC is the primary metric because it is independent of the threshold. Recall is the key operational metric, since a missed breach costs more than an unnecessary review. The 95% confidence interval for AUC is computed with the Hanley and McNeil (1982) standard error.</w:t>
      </w:r>
    </w:p>
    <w:p>
      <w:pPr>
        <w:spacing w:after="0" w:before="0" w:line="480"/>
        <w:ind w:firstLine="720"/>
      </w:pPr>
      <w:r>
        <w:rPr>
          <w:rFonts w:ascii="Times New Roman" w:cs="Times New Roman" w:eastAsia="Times New Roman" w:hAnsi="Times New Roman"/>
          <w:b/>
          <w:bCs/>
          <w:sz w:val="24"/>
          <w:szCs w:val="24"/>
        </w:rPr>
        <w:t xml:space="preserve">Expected solution.</w:t>
      </w:r>
      <w:r>
        <w:rPr>
          <w:rFonts w:ascii="Times New Roman" w:cs="Times New Roman" w:eastAsia="Times New Roman" w:hAnsi="Times New Roman"/>
          <w:sz w:val="24"/>
          <w:szCs w:val="24"/>
        </w:rPr>
        <w:t xml:space="preserve"> A validated breach-risk score at the moment of logging, with evidence of whether it improves on priority alone and a list of the attributes that drive risk.</w:t>
      </w:r>
    </w:p>
    <w:p>
      <w:pPr>
        <w:pStyle w:val="Heading2"/>
        <w:spacing w:after="0" w:before="0" w:line="480"/>
      </w:pPr>
      <w:r>
        <w:rPr>
          <w:rFonts w:ascii="Times New Roman" w:cs="Times New Roman" w:eastAsia="Times New Roman" w:hAnsi="Times New Roman"/>
          <w:b/>
          <w:bCs/>
          <w:sz w:val="24"/>
          <w:szCs w:val="24"/>
        </w:rPr>
        <w:t xml:space="preserve">Limitations and Threats to Validity</w:t>
      </w:r>
    </w:p>
    <w:p>
      <w:pPr>
        <w:spacing w:after="0" w:before="0" w:line="480"/>
        <w:ind w:firstLine="720"/>
      </w:pPr>
      <w:r>
        <w:rPr>
          <w:rFonts w:ascii="Times New Roman" w:cs="Times New Roman" w:eastAsia="Times New Roman" w:hAnsi="Times New Roman"/>
          <w:sz w:val="24"/>
          <w:szCs w:val="24"/>
        </w:rPr>
        <w:t xml:space="preserve">Five limitations are acknowledged. First, the data comes from a single anonymised organisation, and categorical values such as category and assignment group are coded, which limits the business interpretation of individual levels and the generalisability of findings. Second, 98.1% of incidents were opened in a three-month window (March to May 2016), and only closed incidents are included, so seasonality cannot be studied and conclusions about current AIOps tooling must be argued rather than assumed. Third, RQ2 and RQ3 are observational, and unmeasured factors such as analyst skill may confound the associations. Fourth, the SLA targets themselves are not recorded, so breach is taken as given by the made_sla flag; the near-universal breach of Critical and High incidents suggests very tight targets for those priorities, which cannot be verified. Fifth, priority is highly imbalanced (94.2% Moderate), which limits the precision of estimates for the three smaller priority groups. Each limitation will be discussed with the results, and the BPI Challenge 2014 ITIL log will be considered as an external check if time permits.</w:t>
      </w:r>
    </w:p>
    <w:p>
      <w:pPr>
        <w:pStyle w:val="Heading1"/>
        <w:spacing w:after="0" w:before="0" w:line="480"/>
        <w:jc w:val="center"/>
      </w:pPr>
      <w:r>
        <w:rPr>
          <w:rFonts w:ascii="Times New Roman" w:cs="Times New Roman" w:eastAsia="Times New Roman" w:hAnsi="Times New Roman"/>
          <w:b/>
          <w:bCs/>
          <w:sz w:val="24"/>
          <w:szCs w:val="24"/>
        </w:rPr>
        <w:t xml:space="preserve">Recommendation and Application</w:t>
      </w:r>
    </w:p>
    <w:p>
      <w:pPr>
        <w:spacing w:after="0" w:before="0" w:line="480"/>
        <w:ind w:firstLine="720"/>
      </w:pPr>
      <w:r>
        <w:rPr>
          <w:rFonts w:ascii="Times New Roman" w:cs="Times New Roman" w:eastAsia="Times New Roman" w:hAnsi="Times New Roman"/>
          <w:sz w:val="24"/>
          <w:szCs w:val="24"/>
        </w:rPr>
        <w:t xml:space="preserve">The primary target users are service delivery managers and service desk leads in managed-service providers and internal IT organisations, who are accountable for SLA attainment. Secondary users are ITSM platform owners, who configure routing and priority rules, and knowledge managers, who decide where to invest in knowledge articles.</w:t>
      </w:r>
    </w:p>
    <w:p>
      <w:pPr>
        <w:spacing w:after="0" w:before="0" w:line="480"/>
        <w:ind w:firstLine="720"/>
      </w:pPr>
      <w:r>
        <w:rPr>
          <w:rFonts w:ascii="Times New Roman" w:cs="Times New Roman" w:eastAsia="Times New Roman" w:hAnsi="Times New Roman"/>
          <w:sz w:val="24"/>
          <w:szCs w:val="24"/>
        </w:rPr>
        <w:t xml:space="preserve">Each research question maps to a decision. RQ1 tells managers whether the priority scheme differentiates service as intended, or whether lower priorities are being starved. RQ2 quantifies the cost of each reassignment in breach odds, which supports investment in better first-time routing and resolver-group skills matrices. RQ3 indicates whether knowledge-base use is associated with faster resolution and therefore whether knowledge coverage should be a tracked service metric. RQ4 provides a risk score that can be embedded in the ticketing workflow: tickets above a threshold would be flagged at logging for senior triage, rather than being escalated when the SLA clock is already close to expiry. The final report will convert model performance into operational terms, such as the share of breaches caught per 100 tickets flagged, so that the recommendation can be judged on workload and benefit rather than on AUC alone.</w:t>
      </w:r>
    </w:p>
    <w:p>
      <w:pPr>
        <w:pStyle w:val="Heading1"/>
        <w:spacing w:after="0" w:before="0" w:line="480"/>
        <w:jc w:val="center"/>
      </w:pPr>
      <w:r>
        <w:rPr>
          <w:rFonts w:ascii="Times New Roman" w:cs="Times New Roman" w:eastAsia="Times New Roman" w:hAnsi="Times New Roman"/>
          <w:b/>
          <w:bCs/>
          <w:sz w:val="24"/>
          <w:szCs w:val="24"/>
        </w:rPr>
        <w:t xml:space="preserve">Project Plan and Resources</w:t>
      </w:r>
    </w:p>
    <w:p>
      <w:pPr>
        <w:spacing w:after="0" w:before="0" w:line="480"/>
        <w:ind w:firstLine="720"/>
      </w:pPr>
      <w:r>
        <w:rPr>
          <w:rFonts w:ascii="Times New Roman" w:cs="Times New Roman" w:eastAsia="Times New Roman" w:hAnsi="Times New Roman"/>
          <w:sz w:val="24"/>
          <w:szCs w:val="24"/>
        </w:rPr>
        <w:t xml:space="preserve">The project requires no budget. The dataset is free, and all analysis uses open-source Python libraries (pandas, SciPy, statsmodels, scikit-learn, and XGBoost) on a standard laptop. Table 5 aligns the work to the QM640 schedule.</w:t>
      </w:r>
    </w:p>
    <w:p>
      <w:pPr>
        <w:spacing w:after="0" w:before="240" w:line="480"/>
      </w:pPr>
      <w:r>
        <w:rPr>
          <w:rFonts w:ascii="Times New Roman" w:cs="Times New Roman" w:eastAsia="Times New Roman" w:hAnsi="Times New Roman"/>
          <w:b/>
          <w:bCs/>
          <w:sz w:val="24"/>
          <w:szCs w:val="24"/>
        </w:rPr>
        <w:t xml:space="preserve">Table 5</w:t>
      </w:r>
    </w:p>
    <w:p>
      <w:pPr>
        <w:spacing w:after="0" w:before="0" w:line="480"/>
      </w:pPr>
      <w:r>
        <w:rPr>
          <w:rFonts w:ascii="Times New Roman" w:cs="Times New Roman" w:eastAsia="Times New Roman" w:hAnsi="Times New Roman"/>
          <w:i/>
          <w:iCs/>
          <w:sz w:val="24"/>
          <w:szCs w:val="24"/>
        </w:rPr>
        <w:t xml:space="preserve">Work Plan Aligned to the QM640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60"/>
        <w:gridCol w:w="38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Week (due date)</w:t>
            </w:r>
          </w:p>
        </w:tc>
        <w:tc>
          <w:tcPr>
            <w:tcW w:type="dxa" w:w="38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Deliverable</w:t>
            </w:r>
          </w:p>
        </w:tc>
        <w:tc>
          <w:tcPr>
            <w:tcW w:type="dxa" w:w="3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tcPr>
          <w:p>
            <w:pPr>
              <w:spacing w:after="0" w:before="0" w:line="240"/>
            </w:pPr>
            <w:r>
              <w:rPr>
                <w:rFonts w:ascii="Times New Roman" w:cs="Times New Roman" w:eastAsia="Times New Roman" w:hAnsi="Times New Roman"/>
                <w:b/>
                <w:bCs/>
                <w:sz w:val="20"/>
                <w:szCs w:val="20"/>
              </w:rPr>
              <w:t xml:space="preserve">Analytical work</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1–2 (6 Oct 2026)</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Synopsis draft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Topic approval; dataset access confirmed; GitHub repository created</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3 (13 Oct 2026)</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Synopsis final</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Literature search; data and preparation notebook published to GitHub</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4–5 (20 and 27 Oct 2026)</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Interim report draft and final</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Full exploratory analysis; RQ1–RQ3 tests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6 (3 Nov 2026)</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Final report draft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RQ4 modelling, tuning, and DeLong test</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7–8 (15 and 22 Nov 2026)</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Mentor and faculty reviews</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Sensitivity analyses; interpretation; business translation</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9 (29 Nov 2026)</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Final presentation</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Presentation deck and demonstration</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10 (13 Dec 2026)</w:t>
            </w:r>
          </w:p>
        </w:tc>
        <w:tc>
          <w:tcPr>
            <w:tcW w:type="dxa" w:w="3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Final report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pPr>
            <w:r>
              <w:rPr>
                <w:rFonts w:ascii="Times New Roman" w:cs="Times New Roman" w:eastAsia="Times New Roman" w:hAnsi="Times New Roman"/>
                <w:sz w:val="20"/>
                <w:szCs w:val="20"/>
              </w:rPr>
              <w:t xml:space="preserve">Documentation, references, and repository clean-up</w:t>
            </w:r>
          </w:p>
        </w:tc>
      </w:tr>
    </w:tbl>
    <w:p>
      <w:pPr>
        <w:spacing w:after="240" w:before="12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Dates are taken from the QM640 schedule.</w:t>
      </w:r>
    </w:p>
    <w:p>
      <w:r>
        <w:br w:type="page"/>
      </w:r>
    </w:p>
    <w:p>
      <w:pPr>
        <w:pStyle w:val="Heading1"/>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Amaral, C. A. L., Fantinato, M., &amp; Peres, S. M. (2018a). Attribute selection with filter and wrapper: An application on incident management process. In </w:t>
      </w:r>
      <w:r>
        <w:rPr>
          <w:rFonts w:ascii="Times New Roman" w:cs="Times New Roman" w:eastAsia="Times New Roman" w:hAnsi="Times New Roman"/>
          <w:i/>
          <w:iCs/>
          <w:sz w:val="24"/>
          <w:szCs w:val="24"/>
        </w:rPr>
        <w:t xml:space="preserve">Proceedings of the 2018 Federated Conference on Computer Science and Information Systems</w:t>
      </w:r>
      <w:r>
        <w:rPr>
          <w:rFonts w:ascii="Times New Roman" w:cs="Times New Roman" w:eastAsia="Times New Roman" w:hAnsi="Times New Roman"/>
          <w:sz w:val="24"/>
          <w:szCs w:val="24"/>
        </w:rPr>
        <w:t xml:space="preserve"> (Annals of Computer Science and Information Systems, Vol. 15, pp. 679–682). https://doi.org/10.15439/2018F126</w:t>
      </w:r>
    </w:p>
    <w:p>
      <w:pPr>
        <w:spacing w:after="0" w:before="0" w:line="480"/>
        <w:ind w:left="720" w:hanging="720"/>
      </w:pPr>
      <w:r>
        <w:rPr>
          <w:rFonts w:ascii="Times New Roman" w:cs="Times New Roman" w:eastAsia="Times New Roman" w:hAnsi="Times New Roman"/>
          <w:sz w:val="24"/>
          <w:szCs w:val="24"/>
        </w:rPr>
        <w:t xml:space="preserve">Amaral, C., Fantinato, M., &amp; Peres, S. (2018b). </w:t>
      </w:r>
      <w:r>
        <w:rPr>
          <w:rFonts w:ascii="Times New Roman" w:cs="Times New Roman" w:eastAsia="Times New Roman" w:hAnsi="Times New Roman"/>
          <w:i/>
          <w:iCs/>
          <w:sz w:val="24"/>
          <w:szCs w:val="24"/>
        </w:rPr>
        <w:t xml:space="preserve">Incident management process enriched event log</w:t>
      </w:r>
      <w:r>
        <w:rPr>
          <w:rFonts w:ascii="Times New Roman" w:cs="Times New Roman" w:eastAsia="Times New Roman" w:hAnsi="Times New Roman"/>
          <w:sz w:val="24"/>
          <w:szCs w:val="24"/>
        </w:rPr>
        <w:t xml:space="preserve"> [Data set]. UCI Machine Learning Repository. https://doi.org/10.24432/C57S4H</w:t>
      </w:r>
    </w:p>
    <w:p>
      <w:pPr>
        <w:spacing w:after="0" w:before="0" w:line="480"/>
        <w:ind w:left="720" w:hanging="720"/>
      </w:pPr>
      <w:r>
        <w:rPr>
          <w:rFonts w:ascii="Times New Roman" w:cs="Times New Roman" w:eastAsia="Times New Roman" w:hAnsi="Times New Roman"/>
          <w:sz w:val="24"/>
          <w:szCs w:val="24"/>
        </w:rPr>
        <w:t xml:space="preserve">Amaral, C. A. L., Fantinato, M., Reijers, H. A., &amp; Peres, S. M. (2019). Enhancing completion time prediction through attribute selection. In </w:t>
      </w:r>
      <w:r>
        <w:rPr>
          <w:rFonts w:ascii="Times New Roman" w:cs="Times New Roman" w:eastAsia="Times New Roman" w:hAnsi="Times New Roman"/>
          <w:i/>
          <w:iCs/>
          <w:sz w:val="24"/>
          <w:szCs w:val="24"/>
        </w:rPr>
        <w:t xml:space="preserve">Information technology for management: Emerging research and applications</w:t>
      </w:r>
      <w:r>
        <w:rPr>
          <w:rFonts w:ascii="Times New Roman" w:cs="Times New Roman" w:eastAsia="Times New Roman" w:hAnsi="Times New Roman"/>
          <w:sz w:val="24"/>
          <w:szCs w:val="24"/>
        </w:rPr>
        <w:t xml:space="preserve"> (Lecture Notes in Business Information Processing, pp. 3–23). Springer. https://doi.org/10.1007/978-3-030-15154-6_1</w:t>
      </w:r>
    </w:p>
    <w:p>
      <w:pPr>
        <w:spacing w:after="0" w:before="0" w:line="480"/>
        <w:ind w:left="720" w:hanging="720"/>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0" w:before="0" w:line="480"/>
        <w:ind w:left="720" w:hanging="720"/>
      </w:pPr>
      <w:r>
        <w:rPr>
          <w:rFonts w:ascii="Times New Roman" w:cs="Times New Roman" w:eastAsia="Times New Roman" w:hAnsi="Times New Roman"/>
          <w:sz w:val="24"/>
          <w:szCs w:val="24"/>
        </w:rPr>
        <w:t xml:space="preserve">Chen, T., &amp; Guestrin, C. (2016). XGBoost: A scalable tree boosting system. In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(pp. 785–794). ACM. https://doi.org/10.1145/2939672.2939785</w:t>
      </w:r>
    </w:p>
    <w:p>
      <w:pPr>
        <w:spacing w:after="0" w:before="0" w:line="480"/>
        <w:ind w:left="720" w:hanging="720"/>
      </w:pPr>
      <w:r>
        <w:rPr>
          <w:rFonts w:ascii="Times New Roman" w:cs="Times New Roman" w:eastAsia="Times New Roman" w:hAnsi="Times New Roman"/>
          <w:sz w:val="24"/>
          <w:szCs w:val="24"/>
        </w:rPr>
        <w:t xml:space="preserve">Cohen, J. (2013). </w:t>
      </w:r>
      <w:r>
        <w:rPr>
          <w:rFonts w:ascii="Times New Roman" w:cs="Times New Roman" w:eastAsia="Times New Roman" w:hAnsi="Times New Roman"/>
          <w:i/>
          <w:iCs/>
          <w:sz w:val="24"/>
          <w:szCs w:val="24"/>
        </w:rPr>
        <w:t xml:space="preserve">Statistical power analysis for the behavioral sciences</w:t>
      </w:r>
      <w:r>
        <w:rPr>
          <w:rFonts w:ascii="Times New Roman" w:cs="Times New Roman" w:eastAsia="Times New Roman" w:hAnsi="Times New Roman"/>
          <w:sz w:val="24"/>
          <w:szCs w:val="24"/>
        </w:rPr>
        <w:t xml:space="preserve"> (2nd ed.). Routledge. https://doi.org/10.4324/9780203771587</w:t>
      </w:r>
    </w:p>
    <w:p>
      <w:pPr>
        <w:spacing w:after="0" w:before="0" w:line="480"/>
        <w:ind w:left="720" w:hanging="720"/>
      </w:pPr>
      <w:r>
        <w:rPr>
          <w:rFonts w:ascii="Times New Roman" w:cs="Times New Roman" w:eastAsia="Times New Roman" w:hAnsi="Times New Roman"/>
          <w:sz w:val="24"/>
          <w:szCs w:val="24"/>
        </w:rPr>
        <w:t xml:space="preserve">Dang, Y., Lin, Q., &amp; Huang, P. (2019). AIOps: Real-world challenges and research innovations. In </w:t>
      </w:r>
      <w:r>
        <w:rPr>
          <w:rFonts w:ascii="Times New Roman" w:cs="Times New Roman" w:eastAsia="Times New Roman" w:hAnsi="Times New Roman"/>
          <w:i/>
          <w:iCs/>
          <w:sz w:val="24"/>
          <w:szCs w:val="24"/>
        </w:rPr>
        <w:t xml:space="preserve">2019 IEEE/ACM 41st International Conference on Software Engineering: Companion Proceedings (ICSE-Companion)</w:t>
      </w:r>
      <w:r>
        <w:rPr>
          <w:rFonts w:ascii="Times New Roman" w:cs="Times New Roman" w:eastAsia="Times New Roman" w:hAnsi="Times New Roman"/>
          <w:sz w:val="24"/>
          <w:szCs w:val="24"/>
        </w:rPr>
        <w:t xml:space="preserve"> (pp. 4–5). IEEE. https://doi.org/10.1109/ICSE-Companion.2019.00023</w:t>
      </w:r>
    </w:p>
    <w:p>
      <w:pPr>
        <w:spacing w:after="0" w:before="0" w:line="480"/>
        <w:ind w:left="720" w:hanging="720"/>
      </w:pPr>
      <w:r>
        <w:rPr>
          <w:rFonts w:ascii="Times New Roman" w:cs="Times New Roman" w:eastAsia="Times New Roman" w:hAnsi="Times New Roman"/>
          <w:sz w:val="24"/>
          <w:szCs w:val="24"/>
        </w:rPr>
        <w:t xml:space="preserve">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sz w:val="24"/>
          <w:szCs w:val="24"/>
        </w:rPr>
        <w:t xml:space="preserve">Biometrics, 44</w:t>
      </w:r>
      <w:r>
        <w:rPr>
          <w:rFonts w:ascii="Times New Roman" w:cs="Times New Roman" w:eastAsia="Times New Roman" w:hAnsi="Times New Roman"/>
          <w:sz w:val="24"/>
          <w:szCs w:val="24"/>
        </w:rPr>
        <w:t xml:space="preserve">(3), 837–845. https://doi.org/10.2307/2531595</w:t>
      </w:r>
    </w:p>
    <w:p>
      <w:pPr>
        <w:spacing w:after="0" w:before="0" w:line="480"/>
        <w:ind w:left="720" w:hanging="720"/>
      </w:pPr>
      <w:r>
        <w:rPr>
          <w:rFonts w:ascii="Times New Roman" w:cs="Times New Roman" w:eastAsia="Times New Roman" w:hAnsi="Times New Roman"/>
          <w:sz w:val="24"/>
          <w:szCs w:val="24"/>
        </w:rPr>
        <w:t xml:space="preserve">Faul, F., Erdfelder, E., Lang, A.-G., &amp; Buchner, A. (2007). G*Power 3: A flexible statistical power analysis program for the social, behavioral, and biomedical sciences. </w:t>
      </w:r>
      <w:r>
        <w:rPr>
          <w:rFonts w:ascii="Times New Roman" w:cs="Times New Roman" w:eastAsia="Times New Roman" w:hAnsi="Times New Roman"/>
          <w:i/>
          <w:iCs/>
          <w:sz w:val="24"/>
          <w:szCs w:val="24"/>
        </w:rPr>
        <w:t xml:space="preserve">Behavior Research Methods, 39</w:t>
      </w:r>
      <w:r>
        <w:rPr>
          <w:rFonts w:ascii="Times New Roman" w:cs="Times New Roman" w:eastAsia="Times New Roman" w:hAnsi="Times New Roman"/>
          <w:sz w:val="24"/>
          <w:szCs w:val="24"/>
        </w:rPr>
        <w:t xml:space="preserve">(2), 175–191. https://doi.org/10.3758/BF03193146</w:t>
      </w:r>
    </w:p>
    <w:p>
      <w:pPr>
        <w:spacing w:after="0" w:before="0" w:line="480"/>
        <w:ind w:left="720" w:hanging="720"/>
      </w:pPr>
      <w:r>
        <w:rPr>
          <w:rFonts w:ascii="Times New Roman" w:cs="Times New Roman" w:eastAsia="Times New Roman" w:hAnsi="Times New Roman"/>
          <w:sz w:val="24"/>
          <w:szCs w:val="24"/>
        </w:rPr>
        <w:t xml:space="preserve">Gelman, A., &amp; Hill, J. (2007). </w:t>
      </w:r>
      <w:r>
        <w:rPr>
          <w:rFonts w:ascii="Times New Roman" w:cs="Times New Roman" w:eastAsia="Times New Roman" w:hAnsi="Times New Roman"/>
          <w:i/>
          <w:iCs/>
          <w:sz w:val="24"/>
          <w:szCs w:val="24"/>
        </w:rPr>
        <w:t xml:space="preserve">Data analysis using regression and multilevel/hierarchical models</w:t>
      </w:r>
      <w:r>
        <w:rPr>
          <w:rFonts w:ascii="Times New Roman" w:cs="Times New Roman" w:eastAsia="Times New Roman" w:hAnsi="Times New Roman"/>
          <w:sz w:val="24"/>
          <w:szCs w:val="24"/>
        </w:rPr>
        <w:t xml:space="preserve">. Cambridge University Press. https://doi.org/10.1017/CBO9780511790942</w:t>
      </w:r>
    </w:p>
    <w:p>
      <w:pPr>
        <w:spacing w:after="0" w:before="0" w:line="480"/>
        <w:ind w:left="720" w:hanging="720"/>
      </w:pPr>
      <w:r>
        <w:rPr>
          <w:rFonts w:ascii="Times New Roman" w:cs="Times New Roman" w:eastAsia="Times New Roman" w:hAnsi="Times New Roman"/>
          <w:sz w:val="24"/>
          <w:szCs w:val="24"/>
        </w:rPr>
        <w:t xml:space="preserve">Green, S. B. (1991). How many subjects does it take to do a regression analysis? </w:t>
      </w:r>
      <w:r>
        <w:rPr>
          <w:rFonts w:ascii="Times New Roman" w:cs="Times New Roman" w:eastAsia="Times New Roman" w:hAnsi="Times New Roman"/>
          <w:i/>
          <w:iCs/>
          <w:sz w:val="24"/>
          <w:szCs w:val="24"/>
        </w:rPr>
        <w:t xml:space="preserve">Multivariate Behavioral Research, 26</w:t>
      </w:r>
      <w:r>
        <w:rPr>
          <w:rFonts w:ascii="Times New Roman" w:cs="Times New Roman" w:eastAsia="Times New Roman" w:hAnsi="Times New Roman"/>
          <w:sz w:val="24"/>
          <w:szCs w:val="24"/>
        </w:rPr>
        <w:t xml:space="preserve">(3), 499–510. https://doi.org/10.1207/s15327906mbr2603_7</w:t>
      </w:r>
    </w:p>
    <w:p>
      <w:pPr>
        <w:spacing w:after="0" w:before="0" w:line="480"/>
        <w:ind w:left="720" w:hanging="720"/>
      </w:pPr>
      <w:r>
        <w:rPr>
          <w:rFonts w:ascii="Times New Roman" w:cs="Times New Roman" w:eastAsia="Times New Roman" w:hAnsi="Times New Roman"/>
          <w:sz w:val="24"/>
          <w:szCs w:val="24"/>
        </w:rPr>
        <w:t xml:space="preserve">Hanley, J. A., &amp; McNeil, B. J. (1982). The meaning and use of the area under a receiver operating characteristic (ROC) curve. </w:t>
      </w:r>
      <w:r>
        <w:rPr>
          <w:rFonts w:ascii="Times New Roman" w:cs="Times New Roman" w:eastAsia="Times New Roman" w:hAnsi="Times New Roman"/>
          <w:i/>
          <w:iCs/>
          <w:sz w:val="24"/>
          <w:szCs w:val="24"/>
        </w:rPr>
        <w:t xml:space="preserve">Radiology, 143</w:t>
      </w:r>
      <w:r>
        <w:rPr>
          <w:rFonts w:ascii="Times New Roman" w:cs="Times New Roman" w:eastAsia="Times New Roman" w:hAnsi="Times New Roman"/>
          <w:sz w:val="24"/>
          <w:szCs w:val="24"/>
        </w:rPr>
        <w:t xml:space="preserve">(1), 29–36. https://doi.org/10.1148/radiology.143.1.7063747</w:t>
      </w:r>
    </w:p>
    <w:p>
      <w:pPr>
        <w:spacing w:after="0" w:before="0" w:line="480"/>
        <w:ind w:left="720" w:hanging="720"/>
      </w:pPr>
      <w:r>
        <w:rPr>
          <w:rFonts w:ascii="Times New Roman" w:cs="Times New Roman" w:eastAsia="Times New Roman" w:hAnsi="Times New Roman"/>
          <w:sz w:val="24"/>
          <w:szCs w:val="24"/>
        </w:rPr>
        <w:t xml:space="preserve">Kruskal, W. H., &amp; Wallis, W. A. (1952). Use of ranks in one-criterion variance analysis. </w:t>
      </w:r>
      <w:r>
        <w:rPr>
          <w:rFonts w:ascii="Times New Roman" w:cs="Times New Roman" w:eastAsia="Times New Roman" w:hAnsi="Times New Roman"/>
          <w:i/>
          <w:iCs/>
          <w:sz w:val="24"/>
          <w:szCs w:val="24"/>
        </w:rPr>
        <w:t xml:space="preserve">Journal of the American Statistical Association, 47</w:t>
      </w:r>
      <w:r>
        <w:rPr>
          <w:rFonts w:ascii="Times New Roman" w:cs="Times New Roman" w:eastAsia="Times New Roman" w:hAnsi="Times New Roman"/>
          <w:sz w:val="24"/>
          <w:szCs w:val="24"/>
        </w:rPr>
        <w:t xml:space="preserve">(260), 583–621. https://doi.org/10.1080/01621459.1952.10483441</w:t>
      </w:r>
    </w:p>
    <w:p>
      <w:pPr>
        <w:spacing w:after="0" w:before="0" w:line="480"/>
        <w:ind w:left="720" w:hanging="720"/>
      </w:pPr>
      <w:r>
        <w:rPr>
          <w:rFonts w:ascii="Times New Roman" w:cs="Times New Roman" w:eastAsia="Times New Roman" w:hAnsi="Times New Roman"/>
          <w:sz w:val="24"/>
          <w:szCs w:val="24"/>
        </w:rPr>
        <w:t xml:space="preserve">Marrone, M., &amp; Kolbe, L. M. (2011). Impact of IT service management frameworks on the IT organization: An empirical study on benefits, challenges, and processes. </w:t>
      </w:r>
      <w:r>
        <w:rPr>
          <w:rFonts w:ascii="Times New Roman" w:cs="Times New Roman" w:eastAsia="Times New Roman" w:hAnsi="Times New Roman"/>
          <w:i/>
          <w:iCs/>
          <w:sz w:val="24"/>
          <w:szCs w:val="24"/>
        </w:rPr>
        <w:t xml:space="preserve">Business &amp; Information Systems Engineering, 3</w:t>
      </w:r>
      <w:r>
        <w:rPr>
          <w:rFonts w:ascii="Times New Roman" w:cs="Times New Roman" w:eastAsia="Times New Roman" w:hAnsi="Times New Roman"/>
          <w:sz w:val="24"/>
          <w:szCs w:val="24"/>
        </w:rPr>
        <w:t xml:space="preserve">(1), 5–18. https://doi.org/10.1007/s12599-010-0141-5</w:t>
      </w:r>
    </w:p>
    <w:p>
      <w:pPr>
        <w:spacing w:after="0" w:before="0" w:line="480"/>
        <w:ind w:left="720" w:hanging="720"/>
      </w:pPr>
      <w:r>
        <w:rPr>
          <w:rFonts w:ascii="Times New Roman" w:cs="Times New Roman" w:eastAsia="Times New Roman" w:hAnsi="Times New Roman"/>
          <w:sz w:val="24"/>
          <w:szCs w:val="24"/>
        </w:rPr>
        <w:t xml:space="preserve">Shao, Q., Chen, Y., Tao, S., Yan, X., &amp; Anerousis, N. (2008). Efficient ticket routing by resolution sequence mining. In </w:t>
      </w:r>
      <w:r>
        <w:rPr>
          <w:rFonts w:ascii="Times New Roman" w:cs="Times New Roman" w:eastAsia="Times New Roman" w:hAnsi="Times New Roman"/>
          <w:i/>
          <w:iCs/>
          <w:sz w:val="24"/>
          <w:szCs w:val="24"/>
        </w:rPr>
        <w:t xml:space="preserve">Proceedings of the 14th ACM SIGKDD International Conference on Knowledge Discovery and Data Mining</w:t>
      </w:r>
      <w:r>
        <w:rPr>
          <w:rFonts w:ascii="Times New Roman" w:cs="Times New Roman" w:eastAsia="Times New Roman" w:hAnsi="Times New Roman"/>
          <w:sz w:val="24"/>
          <w:szCs w:val="24"/>
        </w:rPr>
        <w:t xml:space="preserve"> (pp. 605–613). ACM. https://doi.org/10.1145/1401890.1401964</w:t>
      </w:r>
    </w:p>
    <w:p>
      <w:pPr>
        <w:spacing w:after="0" w:before="0" w:line="480"/>
        <w:ind w:left="720" w:hanging="720"/>
      </w:pPr>
      <w:r>
        <w:rPr>
          <w:rFonts w:ascii="Times New Roman" w:cs="Times New Roman" w:eastAsia="Times New Roman" w:hAnsi="Times New Roman"/>
          <w:sz w:val="24"/>
          <w:szCs w:val="24"/>
        </w:rPr>
        <w:t xml:space="preserve">Tax, N., Verenich, I., La Rosa, M., &amp; Dumas, M. (2017). Predictive business process monitoring with LSTM neural networks. In E. Dubois &amp; K. Pohl (Eds.), </w:t>
      </w:r>
      <w:r>
        <w:rPr>
          <w:rFonts w:ascii="Times New Roman" w:cs="Times New Roman" w:eastAsia="Times New Roman" w:hAnsi="Times New Roman"/>
          <w:i/>
          <w:iCs/>
          <w:sz w:val="24"/>
          <w:szCs w:val="24"/>
        </w:rPr>
        <w:t xml:space="preserve">Advanced information systems engineering</w:t>
      </w:r>
      <w:r>
        <w:rPr>
          <w:rFonts w:ascii="Times New Roman" w:cs="Times New Roman" w:eastAsia="Times New Roman" w:hAnsi="Times New Roman"/>
          <w:sz w:val="24"/>
          <w:szCs w:val="24"/>
        </w:rPr>
        <w:t xml:space="preserve"> (Lecture Notes in Computer Science, Vol. 10253, pp. 477–492). Springer. https://doi.org/10.1007/978-3-319-59536-8_30</w:t>
      </w:r>
    </w:p>
    <w:p>
      <w:pPr>
        <w:spacing w:after="0" w:before="0" w:line="480"/>
        <w:ind w:left="720" w:hanging="720"/>
      </w:pPr>
      <w:r>
        <w:rPr>
          <w:rFonts w:ascii="Times New Roman" w:cs="Times New Roman" w:eastAsia="Times New Roman" w:hAnsi="Times New Roman"/>
          <w:sz w:val="24"/>
          <w:szCs w:val="24"/>
        </w:rPr>
        <w:t xml:space="preserve">van der Aalst, W. (2016). </w:t>
      </w:r>
      <w:r>
        <w:rPr>
          <w:rFonts w:ascii="Times New Roman" w:cs="Times New Roman" w:eastAsia="Times New Roman" w:hAnsi="Times New Roman"/>
          <w:i/>
          <w:iCs/>
          <w:sz w:val="24"/>
          <w:szCs w:val="24"/>
        </w:rPr>
        <w:t xml:space="preserve">Process mining: Data science in action</w:t>
      </w:r>
      <w:r>
        <w:rPr>
          <w:rFonts w:ascii="Times New Roman" w:cs="Times New Roman" w:eastAsia="Times New Roman" w:hAnsi="Times New Roman"/>
          <w:sz w:val="24"/>
          <w:szCs w:val="24"/>
        </w:rPr>
        <w:t xml:space="preserve"> (2nd ed.). Springer. https://doi.org/10.1007/978-3-662-49851-4</w:t>
      </w:r>
    </w:p>
    <w:p>
      <w:pPr>
        <w:spacing w:after="0" w:before="0" w:line="480"/>
        <w:ind w:left="720" w:hanging="720"/>
      </w:pPr>
      <w:r>
        <w:rPr>
          <w:rFonts w:ascii="Times New Roman" w:cs="Times New Roman" w:eastAsia="Times New Roman" w:hAnsi="Times New Roman"/>
          <w:sz w:val="24"/>
          <w:szCs w:val="24"/>
        </w:rPr>
        <w:t xml:space="preserve">Verenich, I., Dumas, M., La Rosa, M., Maggi, F. M., &amp; Teinemaa, I. (2019). Survey and cross-benchmark comparison of remaining time prediction methods in business process monitoring. </w:t>
      </w:r>
      <w:r>
        <w:rPr>
          <w:rFonts w:ascii="Times New Roman" w:cs="Times New Roman" w:eastAsia="Times New Roman" w:hAnsi="Times New Roman"/>
          <w:i/>
          <w:iCs/>
          <w:sz w:val="24"/>
          <w:szCs w:val="24"/>
        </w:rPr>
        <w:t xml:space="preserve">ACM Transactions on Intelligent Systems and Technology, 10</w:t>
      </w:r>
      <w:r>
        <w:rPr>
          <w:rFonts w:ascii="Times New Roman" w:cs="Times New Roman" w:eastAsia="Times New Roman" w:hAnsi="Times New Roman"/>
          <w:sz w:val="24"/>
          <w:szCs w:val="24"/>
        </w:rPr>
        <w:t xml:space="preserve">(4), 1–34. https://doi.org/10.1145/3331449</w:t>
      </w:r>
    </w:p>
    <w:p>
      <w:r>
        <w:br w:type="page"/>
      </w:r>
    </w:p>
    <w:p>
      <w:pPr>
        <w:pStyle w:val="Heading1"/>
        <w:spacing w:after="0" w:before="0" w:line="480"/>
        <w:jc w:val="center"/>
      </w:pPr>
      <w:r>
        <w:rPr>
          <w:rFonts w:ascii="Times New Roman" w:cs="Times New Roman" w:eastAsia="Times New Roman" w:hAnsi="Times New Roman"/>
          <w:b/>
          <w:bCs/>
          <w:sz w:val="24"/>
          <w:szCs w:val="24"/>
        </w:rPr>
        <w:t xml:space="preserve">Appendix A</w:t>
      </w:r>
    </w:p>
    <w:p>
      <w:pPr>
        <w:spacing w:after="0" w:before="0" w:line="480"/>
        <w:jc w:val="center"/>
      </w:pPr>
      <w:r>
        <w:rPr>
          <w:rFonts w:ascii="Times New Roman" w:cs="Times New Roman" w:eastAsia="Times New Roman" w:hAnsi="Times New Roman"/>
          <w:b/>
          <w:bCs/>
          <w:sz w:val="24"/>
          <w:szCs w:val="24"/>
        </w:rPr>
        <w:t xml:space="preserve">Sample Size Calculation Code</w:t>
      </w:r>
    </w:p>
    <w:p>
      <w:pPr>
        <w:spacing w:after="0" w:before="0" w:line="480"/>
        <w:ind w:firstLine="720"/>
      </w:pPr>
      <w:r>
        <w:rPr>
          <w:rFonts w:ascii="Times New Roman" w:cs="Times New Roman" w:eastAsia="Times New Roman" w:hAnsi="Times New Roman"/>
          <w:sz w:val="24"/>
          <w:szCs w:val="24"/>
        </w:rPr>
        <w:t xml:space="preserve">The Python code below reproduces the minimum sample sizes in Table 2 using SciPy's noncentral F, χ², and t distributions and the Hanley and McNeil (1982) variance formula. It is referenced in the Sample Size Calculation section and will be included in the GitHub repository.</w:t>
      </w:r>
    </w:p>
    <w:p>
      <w:pPr>
        <w:spacing w:after="0" w:before="0" w:line="240"/>
      </w:pPr>
      <w:r>
        <w:rPr>
          <w:rFonts w:ascii="Courier New" w:cs="Courier New" w:eastAsia="Courier New" w:hAnsi="Courier New"/>
          <w:sz w:val="18"/>
          <w:szCs w:val="18"/>
        </w:rPr>
        <w:t xml:space="preserve"># QM640 capstone - minimum sample sizes (alpha = 0.05, power = 0.80)</w:t>
      </w:r>
    </w:p>
    <w:p>
      <w:pPr>
        <w:spacing w:after="0" w:before="0" w:line="240"/>
      </w:pPr>
      <w:r>
        <w:rPr>
          <w:rFonts w:ascii="Courier New" w:cs="Courier New" w:eastAsia="Courier New" w:hAnsi="Courier New"/>
          <w:sz w:val="18"/>
          <w:szCs w:val="18"/>
        </w:rPr>
        <w:t xml:space="preserve">import numpy as np</w:t>
      </w:r>
    </w:p>
    <w:p>
      <w:pPr>
        <w:spacing w:after="0" w:before="0" w:line="240"/>
      </w:pPr>
      <w:r>
        <w:rPr>
          <w:rFonts w:ascii="Courier New" w:cs="Courier New" w:eastAsia="Courier New" w:hAnsi="Courier New"/>
          <w:sz w:val="18"/>
          <w:szCs w:val="18"/>
        </w:rPr>
        <w:t xml:space="preserve">from scipy.stats import f, ncf, chi2, ncx2, t, nct</w:t>
      </w:r>
    </w:p>
    <w:p>
      <w:pPr>
        <w:spacing w:after="0" w:before="0" w:line="240"/>
      </w:pPr>
      <w:r>
        <w:rPr>
          <w:rFonts w:ascii="Courier New" w:cs="Courier New" w:eastAsia="Courier New" w:hAnsi="Courier New"/>
          <w:sz w:val="18"/>
          <w:szCs w:val="18"/>
        </w:rPr>
        <w:t xml:space="preserve"/>
      </w:r>
    </w:p>
    <w:p>
      <w:pPr>
        <w:spacing w:after="0" w:before="0" w:line="240"/>
      </w:pPr>
      <w:r>
        <w:rPr>
          <w:rFonts w:ascii="Courier New" w:cs="Courier New" w:eastAsia="Courier New" w:hAnsi="Courier New"/>
          <w:sz w:val="18"/>
          <w:szCs w:val="18"/>
        </w:rPr>
        <w:t xml:space="preserve">ARE = 0.864  # minimum efficiency of rank tests vs F/t tests</w:t>
      </w:r>
    </w:p>
    <w:p>
      <w:pPr>
        <w:spacing w:after="0" w:before="0" w:line="240"/>
      </w:pPr>
      <w:r>
        <w:rPr>
          <w:rFonts w:ascii="Courier New" w:cs="Courier New" w:eastAsia="Courier New" w:hAnsi="Courier New"/>
          <w:sz w:val="18"/>
          <w:szCs w:val="18"/>
        </w:rPr>
        <w:t xml:space="preserve"/>
      </w:r>
    </w:p>
    <w:p>
      <w:pPr>
        <w:spacing w:after="0" w:before="0" w:line="240"/>
      </w:pPr>
      <w:r>
        <w:rPr>
          <w:rFonts w:ascii="Courier New" w:cs="Courier New" w:eastAsia="Courier New" w:hAnsi="Courier New"/>
          <w:sz w:val="18"/>
          <w:szCs w:val="18"/>
        </w:rPr>
        <w:t xml:space="preserve">def anova_n(fe, k, a=0.05, p=0.80):          # RQ1</w:t>
      </w:r>
    </w:p>
    <w:p>
      <w:pPr>
        <w:spacing w:after="0" w:before="0" w:line="240"/>
      </w:pPr>
      <w:r>
        <w:rPr>
          <w:rFonts w:ascii="Courier New" w:cs="Courier New" w:eastAsia="Courier New" w:hAnsi="Courier New"/>
          <w:sz w:val="18"/>
          <w:szCs w:val="18"/>
        </w:rPr>
        <w:t xml:space="preserve">    n = 2 * k</w:t>
      </w:r>
    </w:p>
    <w:p>
      <w:pPr>
        <w:spacing w:after="0" w:before="0" w:line="240"/>
      </w:pPr>
      <w:r>
        <w:rPr>
          <w:rFonts w:ascii="Courier New" w:cs="Courier New" w:eastAsia="Courier New" w:hAnsi="Courier New"/>
          <w:sz w:val="18"/>
          <w:szCs w:val="18"/>
        </w:rPr>
        <w:t xml:space="preserve">    while ncf.sf(f.ppf(1 - a, k - 1, n - k), k - 1, n - k, fe**2 * n) &lt; p:</w:t>
      </w:r>
    </w:p>
    <w:p>
      <w:pPr>
        <w:spacing w:after="0" w:before="0" w:line="240"/>
      </w:pPr>
      <w:r>
        <w:rPr>
          <w:rFonts w:ascii="Courier New" w:cs="Courier New" w:eastAsia="Courier New" w:hAnsi="Courier New"/>
          <w:sz w:val="18"/>
          <w:szCs w:val="18"/>
        </w:rPr>
        <w:t xml:space="preserve">        n += 1</w:t>
      </w:r>
    </w:p>
    <w:p>
      <w:pPr>
        <w:spacing w:after="0" w:before="0" w:line="240"/>
      </w:pPr>
      <w:r>
        <w:rPr>
          <w:rFonts w:ascii="Courier New" w:cs="Courier New" w:eastAsia="Courier New" w:hAnsi="Courier New"/>
          <w:sz w:val="18"/>
          <w:szCs w:val="18"/>
        </w:rPr>
        <w:t xml:space="preserve">    return n</w:t>
      </w:r>
    </w:p>
    <w:p>
      <w:pPr>
        <w:spacing w:after="0" w:before="0" w:line="240"/>
      </w:pPr>
      <w:r>
        <w:rPr>
          <w:rFonts w:ascii="Courier New" w:cs="Courier New" w:eastAsia="Courier New" w:hAnsi="Courier New"/>
          <w:sz w:val="18"/>
          <w:szCs w:val="18"/>
        </w:rPr>
        <w:t xml:space="preserve"/>
      </w:r>
    </w:p>
    <w:p>
      <w:pPr>
        <w:spacing w:after="0" w:before="0" w:line="240"/>
      </w:pPr>
      <w:r>
        <w:rPr>
          <w:rFonts w:ascii="Courier New" w:cs="Courier New" w:eastAsia="Courier New" w:hAnsi="Courier New"/>
          <w:sz w:val="18"/>
          <w:szCs w:val="18"/>
        </w:rPr>
        <w:t xml:space="preserve">def chi2_n(w, df, a=0.05, p=0.80):            # RQ2</w:t>
      </w:r>
    </w:p>
    <w:p>
      <w:pPr>
        <w:spacing w:after="0" w:before="0" w:line="240"/>
      </w:pPr>
      <w:r>
        <w:rPr>
          <w:rFonts w:ascii="Courier New" w:cs="Courier New" w:eastAsia="Courier New" w:hAnsi="Courier New"/>
          <w:sz w:val="18"/>
          <w:szCs w:val="18"/>
        </w:rPr>
        <w:t xml:space="preserve">    n, c = 10, chi2.ppf(1 - a, df)</w:t>
      </w:r>
    </w:p>
    <w:p>
      <w:pPr>
        <w:spacing w:after="0" w:before="0" w:line="240"/>
      </w:pPr>
      <w:r>
        <w:rPr>
          <w:rFonts w:ascii="Courier New" w:cs="Courier New" w:eastAsia="Courier New" w:hAnsi="Courier New"/>
          <w:sz w:val="18"/>
          <w:szCs w:val="18"/>
        </w:rPr>
        <w:t xml:space="preserve">    while ncx2.sf(c, df, n * w**2) &lt; p:</w:t>
      </w:r>
    </w:p>
    <w:p>
      <w:pPr>
        <w:spacing w:after="0" w:before="0" w:line="240"/>
      </w:pPr>
      <w:r>
        <w:rPr>
          <w:rFonts w:ascii="Courier New" w:cs="Courier New" w:eastAsia="Courier New" w:hAnsi="Courier New"/>
          <w:sz w:val="18"/>
          <w:szCs w:val="18"/>
        </w:rPr>
        <w:t xml:space="preserve">        n += 1</w:t>
      </w:r>
    </w:p>
    <w:p>
      <w:pPr>
        <w:spacing w:after="0" w:before="0" w:line="240"/>
      </w:pPr>
      <w:r>
        <w:rPr>
          <w:rFonts w:ascii="Courier New" w:cs="Courier New" w:eastAsia="Courier New" w:hAnsi="Courier New"/>
          <w:sz w:val="18"/>
          <w:szCs w:val="18"/>
        </w:rPr>
        <w:t xml:space="preserve">    return n</w:t>
      </w:r>
    </w:p>
    <w:p>
      <w:pPr>
        <w:spacing w:after="0" w:before="0" w:line="240"/>
      </w:pPr>
      <w:r>
        <w:rPr>
          <w:rFonts w:ascii="Courier New" w:cs="Courier New" w:eastAsia="Courier New" w:hAnsi="Courier New"/>
          <w:sz w:val="18"/>
          <w:szCs w:val="18"/>
        </w:rPr>
        <w:t xml:space="preserve"/>
      </w:r>
    </w:p>
    <w:p>
      <w:pPr>
        <w:spacing w:after="0" w:before="0" w:line="240"/>
      </w:pPr>
      <w:r>
        <w:rPr>
          <w:rFonts w:ascii="Courier New" w:cs="Courier New" w:eastAsia="Courier New" w:hAnsi="Courier New"/>
          <w:sz w:val="18"/>
          <w:szCs w:val="18"/>
        </w:rPr>
        <w:t xml:space="preserve">def ttest_n(d, ratio, a=0.05, p=0.80):        # RQ3 (n2 = ratio * n1)</w:t>
      </w:r>
    </w:p>
    <w:p>
      <w:pPr>
        <w:spacing w:after="0" w:before="0" w:line="240"/>
      </w:pPr>
      <w:r>
        <w:rPr>
          <w:rFonts w:ascii="Courier New" w:cs="Courier New" w:eastAsia="Courier New" w:hAnsi="Courier New"/>
          <w:sz w:val="18"/>
          <w:szCs w:val="18"/>
        </w:rPr>
        <w:t xml:space="preserve">    n1 = 2</w:t>
      </w:r>
    </w:p>
    <w:p>
      <w:pPr>
        <w:spacing w:after="0" w:before="0" w:line="240"/>
      </w:pPr>
      <w:r>
        <w:rPr>
          <w:rFonts w:ascii="Courier New" w:cs="Courier New" w:eastAsia="Courier New" w:hAnsi="Courier New"/>
          <w:sz w:val="18"/>
          <w:szCs w:val="18"/>
        </w:rPr>
        <w:t xml:space="preserve">    while True:</w:t>
      </w:r>
    </w:p>
    <w:p>
      <w:pPr>
        <w:spacing w:after="0" w:before="0" w:line="240"/>
      </w:pPr>
      <w:r>
        <w:rPr>
          <w:rFonts w:ascii="Courier New" w:cs="Courier New" w:eastAsia="Courier New" w:hAnsi="Courier New"/>
          <w:sz w:val="18"/>
          <w:szCs w:val="18"/>
        </w:rPr>
        <w:t xml:space="preserve">        n2 = int(np.ceil(ratio * n1)); df = n1 + n2 - 2</w:t>
      </w:r>
    </w:p>
    <w:p>
      <w:pPr>
        <w:spacing w:after="0" w:before="0" w:line="240"/>
      </w:pPr>
      <w:r>
        <w:rPr>
          <w:rFonts w:ascii="Courier New" w:cs="Courier New" w:eastAsia="Courier New" w:hAnsi="Courier New"/>
          <w:sz w:val="18"/>
          <w:szCs w:val="18"/>
        </w:rPr>
        <w:t xml:space="preserve">        ncp = d / np.sqrt(1 / n1 + 1 / n2); c = t.ppf(1 - a / 2, df)</w:t>
      </w:r>
    </w:p>
    <w:p>
      <w:pPr>
        <w:spacing w:after="0" w:before="0" w:line="240"/>
      </w:pPr>
      <w:r>
        <w:rPr>
          <w:rFonts w:ascii="Courier New" w:cs="Courier New" w:eastAsia="Courier New" w:hAnsi="Courier New"/>
          <w:sz w:val="18"/>
          <w:szCs w:val="18"/>
        </w:rPr>
        <w:t xml:space="preserve">        if nct.sf(c, df, ncp) + nct.cdf(-c, df, ncp) &gt;= p:</w:t>
      </w:r>
    </w:p>
    <w:p>
      <w:pPr>
        <w:spacing w:after="0" w:before="0" w:line="240"/>
      </w:pPr>
      <w:r>
        <w:rPr>
          <w:rFonts w:ascii="Courier New" w:cs="Courier New" w:eastAsia="Courier New" w:hAnsi="Courier New"/>
          <w:sz w:val="18"/>
          <w:szCs w:val="18"/>
        </w:rPr>
        <w:t xml:space="preserve">            return n1 + n2</w:t>
      </w:r>
    </w:p>
    <w:p>
      <w:pPr>
        <w:spacing w:after="0" w:before="0" w:line="240"/>
      </w:pPr>
      <w:r>
        <w:rPr>
          <w:rFonts w:ascii="Courier New" w:cs="Courier New" w:eastAsia="Courier New" w:hAnsi="Courier New"/>
          <w:sz w:val="18"/>
          <w:szCs w:val="18"/>
        </w:rPr>
        <w:t xml:space="preserve">        n1 += 1</w:t>
      </w:r>
    </w:p>
    <w:p>
      <w:pPr>
        <w:spacing w:after="0" w:before="0" w:line="240"/>
      </w:pPr>
      <w:r>
        <w:rPr>
          <w:rFonts w:ascii="Courier New" w:cs="Courier New" w:eastAsia="Courier New" w:hAnsi="Courier New"/>
          <w:sz w:val="18"/>
          <w:szCs w:val="18"/>
        </w:rPr>
        <w:t xml:space="preserve"/>
      </w:r>
    </w:p>
    <w:p>
      <w:pPr>
        <w:spacing w:after="0" w:before="0" w:line="240"/>
      </w:pPr>
      <w:r>
        <w:rPr>
          <w:rFonts w:ascii="Courier New" w:cs="Courier New" w:eastAsia="Courier New" w:hAnsi="Courier New"/>
          <w:sz w:val="18"/>
          <w:szCs w:val="18"/>
        </w:rPr>
        <w:t xml:space="preserve">def auc_test_n(auc, e, prev):                 # RQ4 (Hanley &amp; McNeil, 1982)</w:t>
      </w:r>
    </w:p>
    <w:p>
      <w:pPr>
        <w:spacing w:after="0" w:before="0" w:line="240"/>
      </w:pPr>
      <w:r>
        <w:rPr>
          <w:rFonts w:ascii="Courier New" w:cs="Courier New" w:eastAsia="Courier New" w:hAnsi="Courier New"/>
          <w:sz w:val="18"/>
          <w:szCs w:val="18"/>
        </w:rPr>
        <w:t xml:space="preserve">    q1, q2 = auc / (2 - auc), 2 * auc**2 / (1 + auc)</w:t>
      </w:r>
    </w:p>
    <w:p>
      <w:pPr>
        <w:spacing w:after="0" w:before="0" w:line="240"/>
      </w:pPr>
      <w:r>
        <w:rPr>
          <w:rFonts w:ascii="Courier New" w:cs="Courier New" w:eastAsia="Courier New" w:hAnsi="Courier New"/>
          <w:sz w:val="18"/>
          <w:szCs w:val="18"/>
        </w:rPr>
        <w:t xml:space="preserve">    n = 50</w:t>
      </w:r>
    </w:p>
    <w:p>
      <w:pPr>
        <w:spacing w:after="0" w:before="0" w:line="240"/>
      </w:pPr>
      <w:r>
        <w:rPr>
          <w:rFonts w:ascii="Courier New" w:cs="Courier New" w:eastAsia="Courier New" w:hAnsi="Courier New"/>
          <w:sz w:val="18"/>
          <w:szCs w:val="18"/>
        </w:rPr>
        <w:t xml:space="preserve">    while True:</w:t>
      </w:r>
    </w:p>
    <w:p>
      <w:pPr>
        <w:spacing w:after="0" w:before="0" w:line="240"/>
      </w:pPr>
      <w:r>
        <w:rPr>
          <w:rFonts w:ascii="Courier New" w:cs="Courier New" w:eastAsia="Courier New" w:hAnsi="Courier New"/>
          <w:sz w:val="18"/>
          <w:szCs w:val="18"/>
        </w:rPr>
        <w:t xml:space="preserve">        pos = round(n * prev); neg = n - pos</w:t>
      </w:r>
    </w:p>
    <w:p>
      <w:pPr>
        <w:spacing w:after="0" w:before="0" w:line="240"/>
      </w:pPr>
      <w:r>
        <w:rPr>
          <w:rFonts w:ascii="Courier New" w:cs="Courier New" w:eastAsia="Courier New" w:hAnsi="Courier New"/>
          <w:sz w:val="18"/>
          <w:szCs w:val="18"/>
        </w:rPr>
        <w:t xml:space="preserve">        var = (auc*(1-auc) + (pos-1)*(q1-auc**2) + (neg-1)*(q2-auc**2)) / (pos*neg)</w:t>
      </w:r>
    </w:p>
    <w:p>
      <w:pPr>
        <w:spacing w:after="0" w:before="0" w:line="240"/>
      </w:pPr>
      <w:r>
        <w:rPr>
          <w:rFonts w:ascii="Courier New" w:cs="Courier New" w:eastAsia="Courier New" w:hAnsi="Courier New"/>
          <w:sz w:val="18"/>
          <w:szCs w:val="18"/>
        </w:rPr>
        <w:t xml:space="preserve">        if 1.96 * np.sqrt(var) &lt;= e:</w:t>
      </w:r>
    </w:p>
    <w:p>
      <w:pPr>
        <w:spacing w:after="0" w:before="0" w:line="240"/>
      </w:pPr>
      <w:r>
        <w:rPr>
          <w:rFonts w:ascii="Courier New" w:cs="Courier New" w:eastAsia="Courier New" w:hAnsi="Courier New"/>
          <w:sz w:val="18"/>
          <w:szCs w:val="18"/>
        </w:rPr>
        <w:t xml:space="preserve">            return n</w:t>
      </w:r>
    </w:p>
    <w:p>
      <w:pPr>
        <w:spacing w:after="0" w:before="0" w:line="240"/>
      </w:pPr>
      <w:r>
        <w:rPr>
          <w:rFonts w:ascii="Courier New" w:cs="Courier New" w:eastAsia="Courier New" w:hAnsi="Courier New"/>
          <w:sz w:val="18"/>
          <w:szCs w:val="18"/>
        </w:rPr>
        <w:t xml:space="preserve">        n += 1</w:t>
      </w:r>
    </w:p>
    <w:p>
      <w:pPr>
        <w:spacing w:after="0" w:before="0" w:line="240"/>
      </w:pPr>
      <w:r>
        <w:rPr>
          <w:rFonts w:ascii="Courier New" w:cs="Courier New" w:eastAsia="Courier New" w:hAnsi="Courier New"/>
          <w:sz w:val="18"/>
          <w:szCs w:val="18"/>
        </w:rPr>
        <w:t xml:space="preserve"/>
      </w:r>
    </w:p>
    <w:p>
      <w:pPr>
        <w:spacing w:after="0" w:before="0" w:line="240"/>
      </w:pPr>
      <w:r>
        <w:rPr>
          <w:rFonts w:ascii="Courier New" w:cs="Courier New" w:eastAsia="Courier New" w:hAnsi="Courier New"/>
          <w:sz w:val="18"/>
          <w:szCs w:val="18"/>
        </w:rPr>
        <w:t xml:space="preserve">rq1 = int(np.ceil(anova_n(0.10, 4) / ARE))    # 1095 / 0.864 -&gt; 1268</w:t>
      </w:r>
    </w:p>
    <w:p>
      <w:pPr>
        <w:spacing w:after="0" w:before="0" w:line="240"/>
      </w:pPr>
      <w:r>
        <w:rPr>
          <w:rFonts w:ascii="Courier New" w:cs="Courier New" w:eastAsia="Courier New" w:hAnsi="Courier New"/>
          <w:sz w:val="18"/>
          <w:szCs w:val="18"/>
        </w:rPr>
        <w:t xml:space="preserve">rq2 = chi2_n(0.10, 1)                         # 785</w:t>
      </w:r>
    </w:p>
    <w:p>
      <w:pPr>
        <w:spacing w:after="0" w:before="0" w:line="240"/>
      </w:pPr>
      <w:r>
        <w:rPr>
          <w:rFonts w:ascii="Courier New" w:cs="Courier New" w:eastAsia="Courier New" w:hAnsi="Courier New"/>
          <w:sz w:val="18"/>
          <w:szCs w:val="18"/>
        </w:rPr>
        <w:t xml:space="preserve">rq3 = int(np.ceil(ttest_n(0.20, 6) / ARE))    # observed 1:5.8 -&gt; 1:6; 1610 / 0.864 -&gt; 1864</w:t>
      </w:r>
    </w:p>
    <w:p>
      <w:pPr>
        <w:spacing w:after="0" w:before="0" w:line="240"/>
      </w:pPr>
      <w:r>
        <w:rPr>
          <w:rFonts w:ascii="Courier New" w:cs="Courier New" w:eastAsia="Courier New" w:hAnsi="Courier New"/>
          <w:sz w:val="18"/>
          <w:szCs w:val="18"/>
        </w:rPr>
        <w:t xml:space="preserve">test = auc_test_n(0.75, 0.03, 9115 / 24918)   # observed prevalence 0.366; 1191</w:t>
      </w:r>
    </w:p>
    <w:p>
      <w:pPr>
        <w:spacing w:after="0" w:before="0" w:line="240"/>
      </w:pPr>
      <w:r>
        <w:rPr>
          <w:rFonts w:ascii="Courier New" w:cs="Courier New" w:eastAsia="Courier New" w:hAnsi="Courier New"/>
          <w:sz w:val="18"/>
          <w:szCs w:val="18"/>
        </w:rPr>
        <w:t xml:space="preserve">rq4 = int(np.ceil(test / 0.30))               # 3970</w:t>
      </w:r>
    </w:p>
    <w:p>
      <w:pPr>
        <w:spacing w:after="0" w:before="0" w:line="240"/>
      </w:pPr>
      <w:r>
        <w:rPr>
          <w:rFonts w:ascii="Courier New" w:cs="Courier New" w:eastAsia="Courier New" w:hAnsi="Courier New"/>
          <w:sz w:val="18"/>
          <w:szCs w:val="18"/>
        </w:rPr>
        <w:t xml:space="preserve">print(rq1, rq2, rq3, test, rq4, "final N =", max(rq1, rq2, rq3, rq4))</w:t>
      </w:r>
    </w:p>
    <w:p>
      <w:pPr>
        <w:spacing w:after="0" w:before="0" w:line="240"/>
      </w:pPr>
      <w:r>
        <w:rPr>
          <w:rFonts w:ascii="Courier New" w:cs="Courier New" w:eastAsia="Courier New" w:hAnsi="Courier New"/>
          <w:sz w:val="18"/>
          <w:szCs w:val="18"/>
        </w:rPr>
        <w:t xml:space="preserve"/>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Capstone Synopsis</dc:title>
  <dc:creator>Binesh Balakrishnan</dc:creator>
  <cp:lastModifiedBy>Un-named</cp:lastModifiedBy>
  <cp:revision>1</cp:revision>
  <dcterms:created xsi:type="dcterms:W3CDTF">2026-09-26T14:45:56.183Z</dcterms:created>
  <dcterms:modified xsi:type="dcterms:W3CDTF">2026-09-26T14:45:56.184Z</dcterms:modified>
</cp:coreProperties>
</file>

<file path=docProps/custom.xml><?xml version="1.0" encoding="utf-8"?>
<Properties xmlns="http://schemas.openxmlformats.org/officeDocument/2006/custom-properties" xmlns:vt="http://schemas.openxmlformats.org/officeDocument/2006/docPropsVTypes"/>
</file>