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FL </w:t>
      </w:r>
      <w:r>
        <w:rPr>
          <w:rFonts w:ascii="Arial" w:hAnsi="Arial"/>
        </w:rPr>
        <w:t>34652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A founding member of NY Web Performance group certified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in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security.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These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skills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ensured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critical needs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demanded 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major national websites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 joined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.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Innovat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testing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such 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QA test plans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CI/CD,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improving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agil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ity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these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enterprise systems.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Br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ought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fresh responsive mobile UX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to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delight customers.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Experience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cludes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media, e-commerce &amp; health.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 TypeScript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DBA;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DynamoDB;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MongoDB; Oracle; SQL Server;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MSW;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Pest;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Playwright;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Postman;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Selenium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👔 </w:t>
      </w: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NodeJS, React,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 xml:space="preserve">for billing website </w:t>
            </w:r>
            <w:r>
              <w:rPr>
                <w:rFonts w:ascii="Arial" w:hAnsi="Arial"/>
                <w:sz w:val="18"/>
                <w:szCs w:val="18"/>
              </w:rPr>
              <w:t>of bulk ISP service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across USA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Automated tests in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&amp; Postman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 long-standing API architectural fault, vexing others for years. Achieved ~10ms faster response, also passing a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Laravel/PHP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Optimized testing speeds to triple performance. Sped every git commit for faster releases.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Refined communication skills by teaching classes. Included complex topics such as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Integrated ReST APIs: StrikeIron &amp; NOAA. Ensured Authorize.net PCI/DSS compliance to enhance security.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🎓 </w:t>
      </w: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p>
      <w:pPr>
        <w:pStyle w:val="Normal"/>
        <w:snapToGrid w:val="false"/>
        <w:rPr>
          <w:rFonts w:ascii="Arial" w:hAnsi="Arial"/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22"/>
          <w:szCs w:val="22"/>
        </w:rPr>
        <w:t>🐧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 xml:space="preserve">My </w:t>
      </w:r>
      <w:r>
        <w:rPr>
          <w:rFonts w:ascii="Arial" w:hAnsi="Arial"/>
          <w:b/>
          <w:bCs/>
          <w:sz w:val="18"/>
          <w:szCs w:val="18"/>
        </w:rPr>
        <w:t>Open Source</w:t>
      </w:r>
      <w:r>
        <w:rPr>
          <w:rFonts w:ascii="Arial" w:hAnsi="Arial"/>
          <w:sz w:val="18"/>
          <w:szCs w:val="18"/>
        </w:rPr>
        <w:tab/>
        <w:t xml:space="preserve">  Ubuntu's</w:t>
      </w:r>
      <w:r>
        <w:rPr>
          <w:rFonts w:ascii="Arial" w:hAnsi="Arial"/>
          <w:sz w:val="18"/>
          <w:szCs w:val="18"/>
        </w:rPr>
        <w:t xml:space="preserve"> JDK </w:t>
      </w:r>
      <w:r>
        <w:rPr>
          <w:rFonts w:ascii="Arial" w:hAnsi="Arial"/>
          <w:sz w:val="18"/>
          <w:szCs w:val="18"/>
        </w:rPr>
        <w:t>package</w:t>
      </w:r>
      <w:r>
        <w:rPr>
          <w:rFonts w:ascii="Arial" w:hAnsi="Arial"/>
          <w:sz w:val="18"/>
          <w:szCs w:val="18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🎓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bookmarkStart w:id="0" w:name="__DdeLink__430_678728385"/>
      <w:r>
        <w:rPr>
          <w:rFonts w:ascii="Arial" w:hAnsi="Arial"/>
          <w:b w:val="false"/>
          <w:bCs w:val="false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3813</TotalTime>
  <Application>LibreOffice/25.8.0.4$MacOSX_AARCH64 LibreOffice_project/48f00303701489684e67c38c28aff00cd5929e67</Application>
  <AppVersion>15.0000</AppVersion>
  <Pages>1</Pages>
  <Words>488</Words>
  <Characters>2674</Characters>
  <CharactersWithSpaces>3132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2025-08-26T16:18:28Z</cp:lastPrinted>
  <dcterms:modified xsi:type="dcterms:W3CDTF">2025-08-26T16:16:01Z</dcterms:modified>
  <cp:revision>449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