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1C53F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1C53F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1C53F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1C53F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1C53F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1C53F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1C53F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1C53F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1C53F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1C53F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1C53F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1C53F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1C53F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1C53F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1C53F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1C53F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1C53F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1C53F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1C53F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1C53F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1C53F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1C53F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1C53F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1C53F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1C53F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1C53F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1C53F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1C53F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1C53F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1C53F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1C53F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1C53F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1C53F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1C53F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1C53F4">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1C53F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1C53F4">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1C53F4"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1C53F4">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1C53F4"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1C53F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1C53F4"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1C53F4">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1C53F4">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1C53F4">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1C53F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1C53F4">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1C53F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1C53F4">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1C53F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1C53F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lastRenderedPageBreak/>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lastRenderedPageBreak/>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1C53F4">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w:lastRenderedPageBreak/>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1C53F4">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lastRenderedPageBreak/>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Pr>
        <w:rPr>
          <w:rFonts w:hint="eastAsia"/>
        </w:rPr>
      </w:pPr>
      <w:bookmarkStart w:id="72" w:name="_GoBack"/>
      <w:bookmarkEnd w:id="72"/>
    </w:p>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w:lastRenderedPageBreak/>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lastRenderedPageBreak/>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lastRenderedPageBreak/>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3F4" w:rsidRDefault="001C53F4" w:rsidP="00257387">
      <w:r>
        <w:separator/>
      </w:r>
    </w:p>
  </w:endnote>
  <w:endnote w:type="continuationSeparator" w:id="0">
    <w:p w:rsidR="001C53F4" w:rsidRDefault="001C53F4"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3F4" w:rsidRDefault="001C53F4" w:rsidP="00257387">
      <w:r>
        <w:separator/>
      </w:r>
    </w:p>
  </w:footnote>
  <w:footnote w:type="continuationSeparator" w:id="0">
    <w:p w:rsidR="001C53F4" w:rsidRDefault="001C53F4"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3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7A6"/>
    <w:rsid w:val="000B0865"/>
    <w:rsid w:val="000B0968"/>
    <w:rsid w:val="000B0CE4"/>
    <w:rsid w:val="000B1049"/>
    <w:rsid w:val="000B1286"/>
    <w:rsid w:val="000B12DC"/>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A72"/>
    <w:rsid w:val="00141B0D"/>
    <w:rsid w:val="00141EC8"/>
    <w:rsid w:val="00142585"/>
    <w:rsid w:val="001426DC"/>
    <w:rsid w:val="00142AFE"/>
    <w:rsid w:val="00142EAD"/>
    <w:rsid w:val="00142F17"/>
    <w:rsid w:val="00142F72"/>
    <w:rsid w:val="00142F74"/>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0C7"/>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18F"/>
    <w:rsid w:val="001A45A4"/>
    <w:rsid w:val="001A45AD"/>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638"/>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86C"/>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5D1"/>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2861"/>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4ED"/>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5"/>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365"/>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A29"/>
    <w:rsid w:val="00496A77"/>
    <w:rsid w:val="00496D6F"/>
    <w:rsid w:val="00496E2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E34"/>
    <w:rsid w:val="00505EE7"/>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D7B"/>
    <w:rsid w:val="00536EA6"/>
    <w:rsid w:val="005373AB"/>
    <w:rsid w:val="00537965"/>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1285"/>
    <w:rsid w:val="005C12C1"/>
    <w:rsid w:val="005C158B"/>
    <w:rsid w:val="005C1659"/>
    <w:rsid w:val="005C16E4"/>
    <w:rsid w:val="005C1B80"/>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567"/>
    <w:rsid w:val="00613726"/>
    <w:rsid w:val="0061395F"/>
    <w:rsid w:val="00613963"/>
    <w:rsid w:val="00613C54"/>
    <w:rsid w:val="00613CC7"/>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5F"/>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D8B"/>
    <w:rsid w:val="00743E48"/>
    <w:rsid w:val="00744287"/>
    <w:rsid w:val="0074430C"/>
    <w:rsid w:val="00744624"/>
    <w:rsid w:val="0074474B"/>
    <w:rsid w:val="0074478E"/>
    <w:rsid w:val="0074479F"/>
    <w:rsid w:val="00744CA0"/>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CBA"/>
    <w:rsid w:val="008E7E9D"/>
    <w:rsid w:val="008F0171"/>
    <w:rsid w:val="008F0827"/>
    <w:rsid w:val="008F0B2B"/>
    <w:rsid w:val="008F0D8C"/>
    <w:rsid w:val="008F18B5"/>
    <w:rsid w:val="008F1A36"/>
    <w:rsid w:val="008F1C94"/>
    <w:rsid w:val="008F229A"/>
    <w:rsid w:val="008F25D4"/>
    <w:rsid w:val="008F2681"/>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0906"/>
    <w:rsid w:val="00981009"/>
    <w:rsid w:val="009812A3"/>
    <w:rsid w:val="009813CE"/>
    <w:rsid w:val="0098179D"/>
    <w:rsid w:val="00981B18"/>
    <w:rsid w:val="00981D73"/>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517A"/>
    <w:rsid w:val="009D5282"/>
    <w:rsid w:val="009D531E"/>
    <w:rsid w:val="009D5535"/>
    <w:rsid w:val="009D5552"/>
    <w:rsid w:val="009D56BD"/>
    <w:rsid w:val="009D5750"/>
    <w:rsid w:val="009D575D"/>
    <w:rsid w:val="009D580A"/>
    <w:rsid w:val="009D5A19"/>
    <w:rsid w:val="009D5C9A"/>
    <w:rsid w:val="009D5D7C"/>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1FDA"/>
    <w:rsid w:val="00A723CE"/>
    <w:rsid w:val="00A72422"/>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767"/>
    <w:rsid w:val="00A778C1"/>
    <w:rsid w:val="00A77C60"/>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910"/>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81E"/>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0E2A"/>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4DFF"/>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CDB"/>
    <w:rsid w:val="00B55E96"/>
    <w:rsid w:val="00B55F62"/>
    <w:rsid w:val="00B56481"/>
    <w:rsid w:val="00B567AA"/>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539"/>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529D"/>
    <w:rsid w:val="00D052CD"/>
    <w:rsid w:val="00D052E5"/>
    <w:rsid w:val="00D052EC"/>
    <w:rsid w:val="00D05480"/>
    <w:rsid w:val="00D05579"/>
    <w:rsid w:val="00D05696"/>
    <w:rsid w:val="00D0582A"/>
    <w:rsid w:val="00D05BA0"/>
    <w:rsid w:val="00D05CCD"/>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4F38"/>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0DD3"/>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2AE"/>
    <w:rsid w:val="00E404E5"/>
    <w:rsid w:val="00E40629"/>
    <w:rsid w:val="00E40AF9"/>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764"/>
    <w:rsid w:val="00E56A03"/>
    <w:rsid w:val="00E56D1D"/>
    <w:rsid w:val="00E56D32"/>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5A3"/>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6C0"/>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63A2"/>
    <w:rsid w:val="00FC6C51"/>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50741-0D16-45FF-96FF-8DCD01EC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39591</TotalTime>
  <Pages>55</Pages>
  <Words>12731</Words>
  <Characters>72568</Characters>
  <Application>Microsoft Office Word</Application>
  <DocSecurity>0</DocSecurity>
  <Lines>604</Lines>
  <Paragraphs>170</Paragraphs>
  <ScaleCrop>false</ScaleCrop>
  <Company>Microsoft</Company>
  <LinksUpToDate>false</LinksUpToDate>
  <CharactersWithSpaces>85129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2016-10-21T16:40:00Z</dcterms:modified>
</cp:coreProperties>
</file>