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1667E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1667E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1667E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1667E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1667E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1667E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1667E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1667E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1667E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1667E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1667E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1667E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1667E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1667E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1667E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1667E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1667E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1667E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1667E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1667E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1667E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1667E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1667E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1667E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1667E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1667E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1667E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1667E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1667E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1667E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1667E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1667E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1667E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1667E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1667E2">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1667E2">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1667E2">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CONNECTED-COMPONENTS(</w:t>
      </w:r>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UNION(</w:t>
      </w:r>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SAME-COMPONENT(</w:t>
      </w:r>
      <w:r w:rsidRPr="00967765">
        <w:rPr>
          <w:i/>
          <w:iCs/>
        </w:rPr>
        <w:t>u</w:t>
      </w:r>
      <w:r w:rsidRPr="00967765">
        <w:t xml:space="preserve">, </w:t>
      </w:r>
      <w:r w:rsidRPr="00967765">
        <w:rPr>
          <w:i/>
          <w:iCs/>
        </w:rPr>
        <w:t>v</w:t>
      </w:r>
      <w:r w:rsidRPr="00967765">
        <w:t>)</w:t>
      </w:r>
    </w:p>
    <w:p w:rsidR="00967765" w:rsidRPr="00967765" w:rsidRDefault="00967765" w:rsidP="00967765">
      <w:r w:rsidRPr="00967765">
        <w:t xml:space="preserve">1  </w:t>
      </w:r>
      <w:r w:rsidRPr="00967765">
        <w:rPr>
          <w:b/>
          <w:bCs/>
        </w:rPr>
        <w:t>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lastRenderedPageBreak/>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r each set has attributes 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object </w:t>
      </w:r>
      <m:oMath>
        <m:r>
          <w:rPr>
            <w:rFonts w:ascii="Cambria Math" w:hAnsi="Cambria Math"/>
          </w:rPr>
          <m:t>x</m:t>
        </m:r>
      </m:oMath>
      <w:r w:rsidR="00C524BD" w:rsidRPr="00C524BD">
        <w:t xml:space="preserve">. We know that each time </w:t>
      </w:r>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time </w:t>
      </w:r>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time </w:t>
      </w:r>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any </w:t>
      </w:r>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is </w:t>
      </w:r>
      <m:oMath>
        <m:r>
          <w:rPr>
            <w:rFonts w:ascii="Cambria Math" w:hAnsi="Cambria Math"/>
          </w:rPr>
          <m:t>O(nlgn)</m:t>
        </m:r>
      </m:oMath>
      <w:r w:rsidR="00C524BD" w:rsidRPr="00C524BD">
        <w:t>.</w:t>
      </w:r>
    </w:p>
    <w:p w:rsidR="00356B73" w:rsidRDefault="00356B73" w:rsidP="006A3750">
      <w:r w:rsidRPr="00356B73">
        <w:lastRenderedPageBreak/>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thus </w:t>
      </w:r>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for the entire sequence is thus</w:t>
      </w:r>
      <w:r w:rsidR="001E7EFE">
        <w:rPr>
          <w:rFonts w:hint="eastAsia"/>
        </w:rPr>
        <w:t xml:space="preserve"> </w:t>
      </w:r>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200FED"/>
    <w:p w:rsidR="00202AC2" w:rsidRDefault="00202AC2"/>
    <w:p w:rsidR="00202AC2" w:rsidRDefault="00202AC2"/>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1667E2">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lastRenderedPageBreak/>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1667E2"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lastRenderedPageBreak/>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lastRenderedPageBreak/>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w:t>
      </w:r>
      <w:r w:rsidR="000F1152">
        <w:rPr>
          <w:rFonts w:hint="eastAsia"/>
        </w:rPr>
        <w:lastRenderedPageBreak/>
        <w:t>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1667E2">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1667E2">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1667E2">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1667E2">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w:lastRenderedPageBreak/>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w:t>
      </w:r>
      <w:r w:rsidR="00E0030A">
        <w:rPr>
          <w:rFonts w:hint="eastAsia"/>
        </w:rPr>
        <w:lastRenderedPageBreak/>
        <w:t>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lastRenderedPageBreak/>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lastRenderedPageBreak/>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lastRenderedPageBreak/>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1667E2">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w:t>
      </w:r>
      <w:r w:rsidR="004036E2">
        <w:rPr>
          <w:rFonts w:hint="eastAsia"/>
        </w:rPr>
        <w:lastRenderedPageBreak/>
        <w:t>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1667E2">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lastRenderedPageBreak/>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w:t>
      </w:r>
      <w:r w:rsidRPr="00475560">
        <w:lastRenderedPageBreak/>
        <w:t xml:space="preserve">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w:t>
      </w:r>
      <w:r w:rsidR="001F1B95">
        <w:lastRenderedPageBreak/>
        <w:t xml:space="preserve">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且其权值之和</w:t>
      </w:r>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edges </w:t>
      </w:r>
      <m:oMath>
        <m:r>
          <w:rPr>
            <w:rFonts w:ascii="Cambria Math" w:hAnsi="Cambria Math"/>
          </w:rPr>
          <m:t>A</m:t>
        </m:r>
      </m:oMath>
      <w:r>
        <w:t>, maintaining the following loop invariant:</w:t>
      </w:r>
    </w:p>
    <w:p w:rsidR="0056378D" w:rsidRDefault="0056378D" w:rsidP="0056378D">
      <w:r>
        <w:t xml:space="preserve">Prior to each iteration,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for </w:t>
      </w:r>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GENERIC-MST(</w:t>
      </w:r>
      <w:r w:rsidRPr="003F0B84">
        <w:rPr>
          <w:i/>
          <w:iCs/>
        </w:rPr>
        <w:t>G</w:t>
      </w:r>
      <w:r w:rsidRPr="003F0B84">
        <w:t xml:space="preserve">, </w:t>
      </w:r>
      <w:r w:rsidRPr="003F0B84">
        <w:rPr>
          <w:i/>
          <w:iCs/>
        </w:rPr>
        <w:t>w</w:t>
      </w:r>
      <w:r w:rsidRPr="003F0B84">
        <w:t>)</w:t>
      </w:r>
    </w:p>
    <w:p w:rsidR="003F0B84" w:rsidRPr="003F0B84" w:rsidRDefault="003F0B84" w:rsidP="003F0B84">
      <w:r w:rsidRPr="003F0B84">
        <w:t xml:space="preserve">1  </w:t>
      </w:r>
      <w:r w:rsidRPr="003F0B84">
        <w:rPr>
          <w:i/>
          <w:iCs/>
        </w:rPr>
        <w:t>A</w:t>
      </w:r>
      <w:r w:rsidRPr="003F0B84">
        <w:t xml:space="preserve"> ← Ø</w:t>
      </w:r>
    </w:p>
    <w:p w:rsidR="003F0B84" w:rsidRPr="003F0B84" w:rsidRDefault="003F0B84" w:rsidP="003F0B84">
      <w:r w:rsidRPr="003F0B84">
        <w:t xml:space="preserve">2  </w:t>
      </w:r>
      <w:r w:rsidRPr="003F0B84">
        <w:rPr>
          <w:b/>
          <w:bCs/>
        </w:rPr>
        <w:t>while</w:t>
      </w:r>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r w:rsidRPr="003F0B84">
        <w:t xml:space="preserve">5  </w:t>
      </w:r>
      <w:r w:rsidRPr="003F0B84">
        <w:rPr>
          <w:b/>
          <w:bCs/>
        </w:rPr>
        <w:t>return</w:t>
      </w:r>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of </w:t>
      </w:r>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in </w:t>
      </w:r>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for </w:t>
      </w:r>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for </w:t>
      </w:r>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lastRenderedPageBreak/>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r w:rsidR="00C32FB1">
        <w:rPr>
          <w:rFonts w:hint="eastAsia"/>
        </w:rPr>
        <w:t>包含边</w:t>
      </w:r>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r w:rsidR="00D77AD1">
        <w:rPr>
          <w:rFonts w:hint="eastAsia"/>
        </w:rPr>
        <w:t>包含边</w:t>
      </w:r>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中去掉边</w:t>
      </w:r>
      <m:oMath>
        <m:r>
          <w:rPr>
            <w:rFonts w:ascii="Cambria Math" w:hAnsi="Cambria Math"/>
          </w:rPr>
          <m:t>(x,y)</m:t>
        </m:r>
      </m:oMath>
      <w:r w:rsidR="004C32F9">
        <w:rPr>
          <w:rFonts w:hint="eastAsia"/>
        </w:rPr>
        <w:t>就不再是连通的，</w:t>
      </w:r>
      <w:r w:rsidR="00C715CC">
        <w:rPr>
          <w:rFonts w:hint="eastAsia"/>
        </w:rPr>
        <w:t>但是再加入边</w:t>
      </w:r>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for </w:t>
      </w:r>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in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的一条轻边</w:t>
      </w:r>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pPr>
        <w:rPr>
          <w:rFonts w:hint="eastAsia"/>
        </w:rPr>
      </w:pPr>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pPr>
        <w:rPr>
          <w:rFonts w:hint="eastAsia"/>
        </w:rPr>
      </w:pPr>
      <w:r>
        <w:rPr>
          <w:rFonts w:hint="eastAsia"/>
        </w:rPr>
        <w:t>Kruskal</w:t>
      </w:r>
      <w:r>
        <w:rPr>
          <w:rFonts w:hint="eastAsia"/>
        </w:rPr>
        <w:t>算法</w:t>
      </w:r>
    </w:p>
    <w:p w:rsidR="00A81A83" w:rsidRDefault="00002466">
      <w:pPr>
        <w:rPr>
          <w:rFonts w:hint="eastAsia"/>
        </w:rPr>
      </w:pPr>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by </w:t>
      </w:r>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for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pPr>
        <w:rPr>
          <w:rFonts w:hint="eastAsia"/>
        </w:rPr>
      </w:pPr>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bookmarkStart w:id="55" w:name="_GoBack"/>
      <w:bookmarkEnd w:id="55"/>
    </w:p>
    <w:p w:rsidR="00C82B48" w:rsidRDefault="005137A3" w:rsidP="00953AB5">
      <w:pPr>
        <w:rPr>
          <w:rFonts w:hint="eastAsia"/>
        </w:rPr>
      </w:pPr>
      <w:r>
        <w:rPr>
          <w:rFonts w:hint="eastAsia"/>
        </w:rPr>
        <w:t>T</w:t>
      </w:r>
      <w:r w:rsidR="00841072">
        <w:t>he running time of Kruskal’s</w:t>
      </w:r>
      <w:r w:rsidR="00841072">
        <w:rPr>
          <w:rFonts w:hint="eastAsia"/>
        </w:rPr>
        <w:t xml:space="preserve"> </w:t>
      </w:r>
      <w:r w:rsidR="00953AB5">
        <w:t>algorithm as</w:t>
      </w:r>
      <w:r w:rsidR="00F115A1">
        <w:rPr>
          <w:rFonts w:hint="eastAsia"/>
        </w:rPr>
        <w:t xml:space="preserve"> </w:t>
      </w:r>
      <m:oMath>
        <m:r>
          <w:rPr>
            <w:rFonts w:ascii="Cambria Math" w:hAnsi="Cambria Math"/>
          </w:rPr>
          <m:t>O(ElgV)</m:t>
        </m:r>
      </m:oMath>
      <w:r w:rsidR="002D0914">
        <w:rPr>
          <w:rFonts w:hint="eastAsia"/>
        </w:rPr>
        <w:t>.</w:t>
      </w:r>
    </w:p>
    <w:p w:rsidR="00BA4348" w:rsidRDefault="00B743F6">
      <w:pPr>
        <w:rPr>
          <w:rFonts w:hint="eastAsia"/>
        </w:rPr>
      </w:pPr>
      <w:r>
        <w:rPr>
          <w:rFonts w:hint="eastAsia"/>
        </w:rPr>
        <w:t>Prim</w:t>
      </w:r>
      <w:r>
        <w:rPr>
          <w:rFonts w:hint="eastAsia"/>
        </w:rPr>
        <w:t>算法</w:t>
      </w:r>
    </w:p>
    <w:p w:rsidR="00C873BF" w:rsidRDefault="00C873BF">
      <w:pPr>
        <w:rPr>
          <w:rFonts w:hint="eastAsia"/>
        </w:rPr>
      </w:pPr>
    </w:p>
    <w:p w:rsidR="00990A5A" w:rsidRDefault="00990A5A">
      <w:pPr>
        <w:rPr>
          <w:rFonts w:hint="eastAsia"/>
        </w:rPr>
      </w:pPr>
    </w:p>
    <w:p w:rsidR="00C873BF" w:rsidRDefault="00C873BF">
      <w:pPr>
        <w:rPr>
          <w:rFonts w:hint="eastAsia"/>
        </w:rPr>
      </w:pPr>
    </w:p>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1667E2">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1667E2">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1667E2">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lastRenderedPageBreak/>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r w:rsidRPr="00EC4AEC">
        <w:t>RELAX(</w:t>
      </w:r>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r w:rsidRPr="00EC4AEC">
        <w:t xml:space="preserve">1  </w:t>
      </w:r>
      <w:r w:rsidRPr="00EC4AEC">
        <w:rPr>
          <w:b/>
          <w:bCs/>
        </w:rPr>
        <w:t>if</w:t>
      </w:r>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r w:rsidR="00095A71">
        <w:rPr>
          <w:rFonts w:hint="eastAsia"/>
        </w:rPr>
        <w:t>是带权有向图，</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r w:rsidR="00721660">
        <w:rPr>
          <w:rFonts w:hint="eastAsia"/>
        </w:rPr>
        <w:t>是带权有向图，其权函数为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lastRenderedPageBreak/>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属于一个负权回路</w:t>
      </w:r>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假设在</w:t>
      </w:r>
      <w:r w:rsidR="00E0369E">
        <w:rPr>
          <w:rFonts w:hint="eastAsia"/>
        </w:rPr>
        <w:t>带权有向图</w:t>
      </w:r>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为一个带权有向图</w:t>
      </w:r>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r w:rsidR="0067514D">
        <w:rPr>
          <w:rFonts w:hint="eastAsia"/>
        </w:rPr>
        <w:t>是带权有向图，其权函数为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r w:rsidR="003E7E71">
        <w:rPr>
          <w:rFonts w:hint="eastAsia"/>
        </w:rPr>
        <w:t>是带权有向图，其权函数为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无论其它边是否发生松弛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lastRenderedPageBreak/>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r w:rsidR="00075B0B">
        <w:rPr>
          <w:rFonts w:hint="eastAsia"/>
        </w:rPr>
        <w:t>是带权有向图，其权函数为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可达的负权回路</w:t>
      </w:r>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r w:rsidR="00F1239C">
        <w:rPr>
          <w:rFonts w:hint="eastAsia"/>
        </w:rPr>
        <w:t>是带权有向图，其权函数为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可达的负权回路</w:t>
      </w:r>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lastRenderedPageBreak/>
        <w:t>其中</w:t>
      </w:r>
    </w:p>
    <w:p w:rsidR="0062065B" w:rsidRPr="005037A9" w:rsidRDefault="001667E2">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r w:rsidR="003E63A9">
        <w:rPr>
          <w:rFonts w:hint="eastAsia"/>
        </w:rPr>
        <w:t>个点值对所形成的集合：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1667E2">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w:t>
      </w:r>
      <w:r w:rsidR="00BA3818">
        <w:rPr>
          <w:rFonts w:hint="eastAsia"/>
        </w:rPr>
        <w:lastRenderedPageBreak/>
        <w:t>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任意两个顶点由唯一一条简单路径相连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w:t>
      </w:r>
      <w:r w:rsidR="00445480">
        <w:rPr>
          <w:rFonts w:hint="eastAsia"/>
        </w:rPr>
        <w:lastRenderedPageBreak/>
        <w:t>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lastRenderedPageBreak/>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7E2" w:rsidRDefault="001667E2" w:rsidP="00257387">
      <w:r>
        <w:separator/>
      </w:r>
    </w:p>
  </w:endnote>
  <w:endnote w:type="continuationSeparator" w:id="0">
    <w:p w:rsidR="001667E2" w:rsidRDefault="001667E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7E2" w:rsidRDefault="001667E2" w:rsidP="00257387">
      <w:r>
        <w:separator/>
      </w:r>
    </w:p>
  </w:footnote>
  <w:footnote w:type="continuationSeparator" w:id="0">
    <w:p w:rsidR="001667E2" w:rsidRDefault="001667E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2227"/>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506F7"/>
    <w:rsid w:val="00050712"/>
    <w:rsid w:val="000509D2"/>
    <w:rsid w:val="00050A74"/>
    <w:rsid w:val="00050CD1"/>
    <w:rsid w:val="00050D1E"/>
    <w:rsid w:val="0005102F"/>
    <w:rsid w:val="000512D6"/>
    <w:rsid w:val="000513FE"/>
    <w:rsid w:val="00051882"/>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78"/>
    <w:rsid w:val="00084D0C"/>
    <w:rsid w:val="0008523C"/>
    <w:rsid w:val="000858B6"/>
    <w:rsid w:val="00085C36"/>
    <w:rsid w:val="00085E2B"/>
    <w:rsid w:val="0008604D"/>
    <w:rsid w:val="000862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3957"/>
    <w:rsid w:val="00144200"/>
    <w:rsid w:val="0014440C"/>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FE"/>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2F1"/>
    <w:rsid w:val="00202474"/>
    <w:rsid w:val="002028D3"/>
    <w:rsid w:val="002029FE"/>
    <w:rsid w:val="00202AC2"/>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842"/>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92B"/>
    <w:rsid w:val="002D3C48"/>
    <w:rsid w:val="002D3C88"/>
    <w:rsid w:val="002D3EE3"/>
    <w:rsid w:val="002D40E3"/>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B73"/>
    <w:rsid w:val="00356C75"/>
    <w:rsid w:val="00356FC3"/>
    <w:rsid w:val="00357127"/>
    <w:rsid w:val="003572C9"/>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F"/>
    <w:rsid w:val="003F2E3F"/>
    <w:rsid w:val="003F311D"/>
    <w:rsid w:val="003F3431"/>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8F6"/>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93B"/>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4B"/>
    <w:rsid w:val="0074478E"/>
    <w:rsid w:val="0074479F"/>
    <w:rsid w:val="0074542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A69"/>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072"/>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25A"/>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3C55"/>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6BD"/>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68E"/>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7A5"/>
    <w:rsid w:val="00A22C16"/>
    <w:rsid w:val="00A23580"/>
    <w:rsid w:val="00A2360E"/>
    <w:rsid w:val="00A23A66"/>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A82"/>
    <w:rsid w:val="00AD0BEC"/>
    <w:rsid w:val="00AD0C2E"/>
    <w:rsid w:val="00AD0CDD"/>
    <w:rsid w:val="00AD176F"/>
    <w:rsid w:val="00AD184C"/>
    <w:rsid w:val="00AD1ACE"/>
    <w:rsid w:val="00AD1C9A"/>
    <w:rsid w:val="00AD2244"/>
    <w:rsid w:val="00AD22D4"/>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DA4"/>
    <w:rsid w:val="00B41E88"/>
    <w:rsid w:val="00B4221D"/>
    <w:rsid w:val="00B4311E"/>
    <w:rsid w:val="00B43224"/>
    <w:rsid w:val="00B4329D"/>
    <w:rsid w:val="00B43527"/>
    <w:rsid w:val="00B435BF"/>
    <w:rsid w:val="00B436C2"/>
    <w:rsid w:val="00B437BD"/>
    <w:rsid w:val="00B4386E"/>
    <w:rsid w:val="00B44146"/>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4D4"/>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B3"/>
    <w:rsid w:val="00C00F4D"/>
    <w:rsid w:val="00C0178A"/>
    <w:rsid w:val="00C01823"/>
    <w:rsid w:val="00C01963"/>
    <w:rsid w:val="00C01A0D"/>
    <w:rsid w:val="00C02663"/>
    <w:rsid w:val="00C02A95"/>
    <w:rsid w:val="00C02B63"/>
    <w:rsid w:val="00C02C60"/>
    <w:rsid w:val="00C030D3"/>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515"/>
    <w:rsid w:val="00D6652F"/>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5AC"/>
    <w:rsid w:val="00D756FA"/>
    <w:rsid w:val="00D757D6"/>
    <w:rsid w:val="00D75A49"/>
    <w:rsid w:val="00D75A79"/>
    <w:rsid w:val="00D75CC2"/>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2BE"/>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7D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7D6"/>
    <w:rsid w:val="00E46A60"/>
    <w:rsid w:val="00E46B7D"/>
    <w:rsid w:val="00E47202"/>
    <w:rsid w:val="00E474A5"/>
    <w:rsid w:val="00E476FE"/>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5D1"/>
    <w:rsid w:val="00E8081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BB5"/>
    <w:rsid w:val="00F11EDC"/>
    <w:rsid w:val="00F1239C"/>
    <w:rsid w:val="00F1241C"/>
    <w:rsid w:val="00F125EA"/>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49"/>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1BAF9-A667-4FAB-8072-6167B14E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37965</TotalTime>
  <Pages>52</Pages>
  <Words>11480</Words>
  <Characters>65440</Characters>
  <Application>Microsoft Office Word</Application>
  <DocSecurity>0</DocSecurity>
  <Lines>545</Lines>
  <Paragraphs>153</Paragraphs>
  <ScaleCrop>false</ScaleCrop>
  <Company>Microsoft</Company>
  <LinksUpToDate>false</LinksUpToDate>
  <CharactersWithSpaces>76767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2016-09-30T14:59:00Z</dcterms:modified>
</cp:coreProperties>
</file>