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7270F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7270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7270F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7270F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7270F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7270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7270F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7270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7270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7270F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7270F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7270F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7270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7270F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7270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7270F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7270F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7270F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7270F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7270F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7270F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7270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7270F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7270F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7270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7270F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7270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7270F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7270F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7270F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7270F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7270F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7270F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7270F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7270F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7270F1">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7270F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7270F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7270F1"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7270F1">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7270F1">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7270F1">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w:t>
      </w:r>
      <w:proofErr w:type="gramStart"/>
      <w:r w:rsidRPr="00706E2B">
        <w:t>the</w:t>
      </w:r>
      <w:proofErr w:type="gramEnd"/>
      <w:r w:rsidRPr="00706E2B">
        <w:t xml:space="preserv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7270F1">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7270F1">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7270F1">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pPr>
        <w:rPr>
          <w:rFonts w:hint="eastAsia"/>
        </w:rPr>
      </w:pPr>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pPr>
        <w:rPr>
          <w:rFonts w:hint="eastAsia"/>
        </w:rPr>
      </w:pPr>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pPr>
        <w:rPr>
          <w:rFonts w:hint="eastAsia"/>
        </w:rPr>
      </w:pPr>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pPr>
        <w:rPr>
          <w:rFonts w:hint="eastAsia"/>
        </w:rPr>
      </w:pPr>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pPr>
        <w:rPr>
          <w:rFonts w:hint="eastAsia"/>
        </w:rPr>
      </w:pPr>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pPr>
        <w:rPr>
          <w:rFonts w:hint="eastAsia"/>
        </w:rPr>
      </w:pPr>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w:t>
      </w:r>
      <w:r w:rsidR="004D2D2B">
        <w:rPr>
          <w:rFonts w:hint="eastAsia"/>
        </w:rPr>
        <w:t>是半连通的</w:t>
      </w:r>
      <w:r w:rsidR="004D2D2B">
        <w:rPr>
          <w:rFonts w:hint="eastAsia"/>
        </w:rPr>
        <w:t>.</w:t>
      </w:r>
    </w:p>
    <w:p w:rsidR="009230CE" w:rsidRPr="007B7304" w:rsidRDefault="009230CE">
      <w:pPr>
        <w:rPr>
          <w:rFonts w:hint="eastAsia"/>
        </w:rPr>
      </w:pPr>
    </w:p>
    <w:p w:rsidR="008E0CC3" w:rsidRDefault="00CF4BAB">
      <w:bookmarkStart w:id="51" w:name="_GoBack"/>
      <w:bookmarkEnd w:id="51"/>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2" w:name="OLE_LINK63"/>
      <w:r>
        <w:rPr>
          <w:rFonts w:hint="eastAsia"/>
        </w:rPr>
        <w:t>第</w:t>
      </w:r>
      <w:r>
        <w:rPr>
          <w:rFonts w:hint="eastAsia"/>
        </w:rPr>
        <w:t>32</w:t>
      </w:r>
      <w:r>
        <w:rPr>
          <w:rFonts w:hint="eastAsia"/>
        </w:rPr>
        <w:t>章</w:t>
      </w:r>
      <w:r w:rsidR="00CD7873">
        <w:rPr>
          <w:rFonts w:hint="eastAsia"/>
        </w:rPr>
        <w:t xml:space="preserve"> </w:t>
      </w:r>
      <w:bookmarkEnd w:id="5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7270F1">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lastRenderedPageBreak/>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4" w:name="OLE_LINK18"/>
      <w:bookmarkStart w:id="5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4"/>
      <w:bookmarkEnd w:id="5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w:lastRenderedPageBreak/>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8" w:name="OLE_LINK44"/>
      <w:bookmarkStart w:id="59" w:name="OLE_LINK45"/>
      <w:r w:rsidR="006E7E9D">
        <w:rPr>
          <w:rFonts w:hint="eastAsia"/>
        </w:rPr>
        <w:t>无回路</w:t>
      </w:r>
      <w:bookmarkEnd w:id="58"/>
      <w:bookmarkEnd w:id="5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6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1" w:name="OLE_LINK42"/>
            <w:bookmarkStart w:id="62" w:name="OLE_LINK43"/>
            <m:r>
              <w:rPr>
                <w:rFonts w:ascii="Cambria Math" w:hAnsi="Cambria Math"/>
              </w:rPr>
              <m:t>E</m:t>
            </m:r>
            <w:bookmarkEnd w:id="61"/>
            <w:bookmarkEnd w:id="6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3" w:name="OLE_LINK46"/>
        <w:bookmarkStart w:id="64" w:name="OLE_LINK47"/>
        <m:d>
          <m:dPr>
            <m:begChr m:val="|"/>
            <m:endChr m:val="|"/>
            <m:ctrlPr>
              <w:rPr>
                <w:rFonts w:ascii="Cambria Math" w:hAnsi="Cambria Math"/>
              </w:rPr>
            </m:ctrlPr>
          </m:dPr>
          <m:e>
            <m:r>
              <w:rPr>
                <w:rFonts w:ascii="Cambria Math" w:hAnsi="Cambria Math"/>
              </w:rPr>
              <m:t>V</m:t>
            </m:r>
          </m:e>
        </m:d>
        <w:bookmarkEnd w:id="63"/>
        <w:bookmarkEnd w:id="6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F1" w:rsidRDefault="007270F1" w:rsidP="00257387">
      <w:r>
        <w:separator/>
      </w:r>
    </w:p>
  </w:endnote>
  <w:endnote w:type="continuationSeparator" w:id="0">
    <w:p w:rsidR="007270F1" w:rsidRDefault="007270F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F1" w:rsidRDefault="007270F1" w:rsidP="00257387">
      <w:r>
        <w:separator/>
      </w:r>
    </w:p>
  </w:footnote>
  <w:footnote w:type="continuationSeparator" w:id="0">
    <w:p w:rsidR="007270F1" w:rsidRDefault="007270F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251A"/>
    <w:rsid w:val="000C3185"/>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4F"/>
    <w:rsid w:val="00147574"/>
    <w:rsid w:val="00147660"/>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787"/>
    <w:rsid w:val="001D28D9"/>
    <w:rsid w:val="001D2B3C"/>
    <w:rsid w:val="001D2E77"/>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7A3"/>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F32"/>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0C1"/>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911"/>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753"/>
    <w:rsid w:val="004B6887"/>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362"/>
    <w:rsid w:val="004D1442"/>
    <w:rsid w:val="004D14D1"/>
    <w:rsid w:val="004D152E"/>
    <w:rsid w:val="004D1B2F"/>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50BE"/>
    <w:rsid w:val="004F59B0"/>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96C"/>
    <w:rsid w:val="00612A29"/>
    <w:rsid w:val="00612BBA"/>
    <w:rsid w:val="00612E48"/>
    <w:rsid w:val="00613726"/>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3B05"/>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49F1"/>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2DC"/>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176D"/>
    <w:rsid w:val="00CF1A43"/>
    <w:rsid w:val="00CF1BBD"/>
    <w:rsid w:val="00CF1D9B"/>
    <w:rsid w:val="00CF2532"/>
    <w:rsid w:val="00CF26F0"/>
    <w:rsid w:val="00CF2989"/>
    <w:rsid w:val="00CF2A79"/>
    <w:rsid w:val="00CF2A7B"/>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6D0"/>
    <w:rsid w:val="00D326FF"/>
    <w:rsid w:val="00D3278C"/>
    <w:rsid w:val="00D32E4A"/>
    <w:rsid w:val="00D33520"/>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31C"/>
    <w:rsid w:val="00DB35E1"/>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837"/>
    <w:rsid w:val="00E14883"/>
    <w:rsid w:val="00E15839"/>
    <w:rsid w:val="00E159C8"/>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E07"/>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F21"/>
    <w:rsid w:val="00EC1329"/>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99"/>
    <w:rsid w:val="00F27F93"/>
    <w:rsid w:val="00F30262"/>
    <w:rsid w:val="00F304A9"/>
    <w:rsid w:val="00F30B60"/>
    <w:rsid w:val="00F30D30"/>
    <w:rsid w:val="00F30F37"/>
    <w:rsid w:val="00F31C09"/>
    <w:rsid w:val="00F320E7"/>
    <w:rsid w:val="00F3236B"/>
    <w:rsid w:val="00F323BF"/>
    <w:rsid w:val="00F3244A"/>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D8B09-6DBE-4890-A219-71AA2A94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30322</TotalTime>
  <Pages>43</Pages>
  <Words>9009</Words>
  <Characters>51353</Characters>
  <Application>Microsoft Office Word</Application>
  <DocSecurity>0</DocSecurity>
  <Lines>427</Lines>
  <Paragraphs>120</Paragraphs>
  <ScaleCrop>false</ScaleCrop>
  <Company>Microsoft</Company>
  <LinksUpToDate>false</LinksUpToDate>
  <CharactersWithSpaces>60242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32120</cp:revision>
  <cp:lastPrinted>2015-08-23T13:34:00Z</cp:lastPrinted>
  <dcterms:created xsi:type="dcterms:W3CDTF">2015-07-21T13:40:00Z</dcterms:created>
  <dcterms:modified xsi:type="dcterms:W3CDTF">2016-05-27T11:23:00Z</dcterms:modified>
</cp:coreProperties>
</file>