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Overview of Controllable Dynamic Codebook Cryptosystem (CDCB)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(Condensed Version: Only core principles, technical implementations and final conclusions are retained. Complete mathematical derivations and experimental validations are provided in the full paper.)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I. Core Idea: Fundamental Paradigm Shift in Security Design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Traditional multi-codebook encryption consistently follows the design principle of </w:t>
      </w:r>
      <w:r>
        <w:rPr>
          <w:rFonts w:eastAsia="等线" w:ascii="Arial" w:cs="Arial" w:hAnsi="Arial"/>
          <w:b w:val="true"/>
          <w:sz w:val="22"/>
        </w:rPr>
        <w:t>avoiding algebraic equivalence and relying on the uniqueness of codebook space</w:t>
      </w:r>
      <w:r>
        <w:rPr>
          <w:rFonts w:eastAsia="等线" w:ascii="Arial" w:cs="Arial" w:hAnsi="Arial"/>
          <w:sz w:val="22"/>
        </w:rPr>
        <w:t>, which leads to two inherent and fatal flaws: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The codebook space is limited; attackers can quickly exhaust all possibilities once the boundary is captured.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The plaintext statistical features are fully preserved, resulting in vulnerability to frequency analysis and AI inference attacks.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scheme completely subverts the conventional design philosophy and proposes a brand-new security paradigm: </w:t>
      </w:r>
      <w:r>
        <w:rPr>
          <w:rFonts w:eastAsia="等线" w:ascii="Arial" w:cs="Arial" w:hAnsi="Arial"/>
          <w:b w:val="true"/>
          <w:sz w:val="22"/>
        </w:rPr>
        <w:t>accept algebraic equivalence and eliminate statistical equivalence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Actively and controllably introduce rotational equivalence redundancy and fully publicize all algebraic equivalence relationships.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Shift the security foundation from </w:t>
      </w:r>
      <w:r>
        <w:rPr>
          <w:rFonts w:eastAsia="等线" w:ascii="Arial" w:cs="Arial" w:hAnsi="Arial"/>
          <w:i w:val="true"/>
          <w:sz w:val="22"/>
        </w:rPr>
        <w:t>codebook space non-enumerability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等线" w:ascii="Arial" w:cs="Arial" w:hAnsi="Arial"/>
          <w:i w:val="true"/>
          <w:sz w:val="22"/>
        </w:rPr>
        <w:t>dynamic mapping randomness + artificially controllable statistical indistinguishability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For the first time strictly distinguish two critical concepts: </w:t>
      </w:r>
      <w:r>
        <w:rPr>
          <w:rFonts w:eastAsia="等线" w:ascii="Arial" w:cs="Arial" w:hAnsi="Arial"/>
          <w:b w:val="true"/>
          <w:sz w:val="22"/>
        </w:rPr>
        <w:t>algebraic rotational equivalence (public, controllable, and security-irrelevant)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statistical distribution equivalence (the essential security vulnerability)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II. Core Technical Implementations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Basic Architecture: Rotationally Inequivalent Code Self-Identification System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(Rotational equivalence group with a 4-bit binary cycle: 0001, 0010, 0100, 1000; the minimum code 0001 serves as the group marker)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Adopt rotationally inequivalent codes as ciphertext tags, which inherently carry unique identifiers of the corresponding codebooks.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The decryptor can automatically identify the codebook through simple rotation operations without additional synchronization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The base code pool supports standardized expansion and large-scale codebook deployment.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Dynamic Codebook Generation: Salt-Driven Independent Shuffling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Each codebook is independently generated via the Fisher-Yates algorithm with a dedicated 64-bit salt, ensuring complete independence between codebooks.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Leakage of a single codebook will not compromise the security of others.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Brand-new codebooks can be generated by replacing salt values without reconstructing the base code pool, supporting millisecond-level dynamic updates.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Core Innovation 1: Fixed Bias Weighting for Statistical Equivalence Elimination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Configure non-uniform fixed bias weights for each plaintext symbol across multiple independent codebooks.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Strictly ensure that the occurrence probability of the same plaintext in different codebooks is mutually distinct and inconsistent with the original plaintext frequency.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Mathematically cut off the statistical correspondence between plaintext and ciphertext, eliminating all attack paths based on frequency analysis.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Core Innovation 2: Multi-Codebook Interleaved Encryption for Local Unsolvability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In the encryption process, codebooks are randomly selected symbol by symbol, fragmenting complete plaintext semantics and distributing them across multiple independent codebooks.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 single codebook only contains incomplete semantic fragments without locally verifiable constraints, making independent decryption impossible.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Attackers are forced to jointly solve the permutation space of all codebooks simultaneously, raising the attack complexity from traditional additive level to multiplicative level.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It effectively resists context prediction attacks and forces attackers to trade off between local optimal solutions and global optimal solutions.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Optimization Scheme: Bimodal Polarization Distribution for Deterministic Security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Force the ciphertext frequency of all plaintexts to converge into two indistinguishable levels: high-frequency layer and low-frequency layer.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Regardless of the original plaintext frequency, the ciphertext distribution observed by attackers always presents a consistent bimodal structure.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Upgrade security from probabilistic to deterministic, completely eradicating statistical equivalence vulnerabilities.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III. Core Security Conclusions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Quantifiable Security Strength</w:t>
      </w:r>
      <w:r>
        <w:rPr>
          <w:rFonts w:eastAsia="等线" w:ascii="Arial" w:cs="Arial" w:hAnsi="Arial"/>
          <w:sz w:val="22"/>
        </w:rPr>
        <w:t>: Under the standard configuration (4 codebooks, 16-bit rotation cycle), the total security entropy is approximately 161 bits, exceeding the security level of AES-128.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Attack Complexity Upgrade</w:t>
      </w:r>
      <w:r>
        <w:rPr>
          <w:rFonts w:eastAsia="等线" w:ascii="Arial" w:cs="Arial" w:hAnsi="Arial"/>
          <w:sz w:val="22"/>
        </w:rPr>
        <w:t xml:space="preserve">: The computational complexity rises from traditional </w:t>
      </w:r>
      <w:r>
        <w:rPr>
          <w:rFonts w:eastAsia="等线" w:ascii="Arial" w:cs="Arial" w:hAnsi="Arial"/>
          <w:i w:val="true"/>
          <w:sz w:val="22"/>
        </w:rPr>
        <w:t>O(k×(m-1)!)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等线" w:ascii="Arial" w:cs="Arial" w:hAnsi="Arial"/>
          <w:i w:val="true"/>
          <w:sz w:val="22"/>
        </w:rPr>
        <w:t>O(((m-1)!)^k)</w:t>
      </w:r>
      <w:r>
        <w:rPr>
          <w:rFonts w:eastAsia="等线" w:ascii="Arial" w:cs="Arial" w:hAnsi="Arial"/>
          <w:sz w:val="22"/>
        </w:rPr>
        <w:t>, capable of resisting both quantum brute-force attacks and AI statistical inference attacks.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Zero Synchronization Overhead</w:t>
      </w:r>
      <w:r>
        <w:rPr>
          <w:rFonts w:eastAsia="等线" w:ascii="Arial" w:cs="Arial" w:hAnsi="Arial"/>
          <w:sz w:val="22"/>
        </w:rPr>
        <w:t>: No additional communication channel is required for codebook synchronization, reducing protocol complexity by more than 90%.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Lightweight Feature</w:t>
      </w:r>
      <w:r>
        <w:rPr>
          <w:rFonts w:eastAsia="等线" w:ascii="Arial" w:cs="Arial" w:hAnsi="Arial"/>
          <w:sz w:val="22"/>
        </w:rPr>
        <w:t>: Only a pseudo-random number generator and simple array operations are required, enabling efficient operation on extremely resource-constrained devices such as 8-bit MCUs.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High Scalability</w:t>
      </w:r>
      <w:r>
        <w:rPr>
          <w:rFonts w:eastAsia="等线" w:ascii="Arial" w:cs="Arial" w:hAnsi="Arial"/>
          <w:sz w:val="22"/>
        </w:rPr>
        <w:t>: Security strength can be linearly improved by increasing the number of codebooks or base codes, covering full-scenario requirements from civilian to military applications.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IV. Application Scenarios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IoT systems and sensor networks with low bandwidth and high latency constraints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Resource-constrained scenarios such as embedded devices and industrial control systems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High-security scenarios including satellite communication and military communication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All encryption scenarios requiring defense against AI statistical inference attacks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2026-05-25T11:56:29Z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{"Label":"1","ContentProducer":"001191110102MACQD9K64010000","ProduceID":"7643797024471862466","ReservedCode1":"","ContentPropagator":"","PropagateID":"","ReservedCode2":""}</vt:lpwstr>
  </property>
</Properties>
</file>