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EB7B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54BDB6A8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D15373B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01F49101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E6B7A2E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C3AEDA3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1BBB562A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CE55BD3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600B44D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36BC37DA" w14:textId="77777777" w:rsidR="003C4095" w:rsidRDefault="003C4095" w:rsidP="003C4095">
      <w:pPr>
        <w:ind w:firstLineChars="200" w:firstLine="720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祖安聊天宝</w:t>
      </w:r>
      <w:r>
        <w:rPr>
          <w:rFonts w:ascii="楷体_GB2312" w:eastAsia="楷体_GB2312"/>
          <w:sz w:val="36"/>
          <w:szCs w:val="36"/>
          <w:u w:val="single"/>
        </w:rPr>
        <w:t xml:space="preserve">              </w:t>
      </w:r>
    </w:p>
    <w:p w14:paraId="6DB786A0" w14:textId="77777777" w:rsidR="003C4095" w:rsidRDefault="003C4095" w:rsidP="003C4095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34B49F90" w14:textId="77777777" w:rsidR="003C4095" w:rsidRDefault="003C4095" w:rsidP="003C4095">
      <w:pPr>
        <w:ind w:firstLineChars="200" w:firstLine="720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王本正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105A1F79" w14:textId="77777777" w:rsidR="003C4095" w:rsidRDefault="003C4095" w:rsidP="003C4095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 w:hint="eastAsia"/>
          <w:sz w:val="36"/>
          <w:szCs w:val="36"/>
          <w:u w:val="single"/>
        </w:rPr>
        <w:t>李春良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</w:t>
      </w:r>
    </w:p>
    <w:p w14:paraId="6C76155C" w14:textId="77777777" w:rsidR="003C4095" w:rsidRDefault="003C4095" w:rsidP="003C4095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1120193226              </w:t>
      </w:r>
    </w:p>
    <w:p w14:paraId="091E514D" w14:textId="77777777" w:rsidR="003C4095" w:rsidRDefault="003C4095" w:rsidP="003C4095">
      <w:pPr>
        <w:ind w:firstLineChars="200" w:firstLine="720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u w:val="single"/>
        </w:rPr>
        <w:t>20</w:t>
      </w:r>
      <w:r>
        <w:rPr>
          <w:rFonts w:ascii="楷体_GB2312" w:eastAsia="楷体_GB2312"/>
          <w:u w:val="single"/>
        </w:rPr>
        <w:t>21</w:t>
      </w:r>
      <w:r w:rsidRPr="005D43E5">
        <w:rPr>
          <w:rFonts w:ascii="楷体_GB2312" w:eastAsia="楷体_GB2312" w:hint="eastAsia"/>
          <w:u w:val="single"/>
        </w:rPr>
        <w:t>年</w:t>
      </w:r>
      <w:r>
        <w:rPr>
          <w:rFonts w:ascii="楷体_GB2312" w:eastAsia="楷体_GB2312"/>
          <w:u w:val="single"/>
        </w:rPr>
        <w:t>8</w:t>
      </w:r>
      <w:r w:rsidRPr="005D43E5">
        <w:rPr>
          <w:rFonts w:ascii="楷体_GB2312" w:eastAsia="楷体_GB2312" w:hint="eastAsia"/>
          <w:u w:val="single"/>
        </w:rPr>
        <w:t>月</w:t>
      </w:r>
      <w:r>
        <w:rPr>
          <w:rFonts w:ascii="楷体_GB2312" w:eastAsia="楷体_GB2312"/>
          <w:u w:val="single"/>
        </w:rPr>
        <w:t>23</w:t>
      </w:r>
      <w:r w:rsidRPr="005D43E5">
        <w:rPr>
          <w:rFonts w:ascii="楷体_GB2312" w:eastAsia="楷体_GB2312" w:hint="eastAsia"/>
          <w:u w:val="single"/>
        </w:rPr>
        <w:t>日-9月</w:t>
      </w:r>
      <w:r>
        <w:rPr>
          <w:rFonts w:ascii="楷体_GB2312" w:eastAsia="楷体_GB2312"/>
          <w:u w:val="single"/>
        </w:rPr>
        <w:t>1</w:t>
      </w:r>
      <w:r w:rsidRPr="005D43E5">
        <w:rPr>
          <w:rFonts w:ascii="楷体_GB2312" w:eastAsia="楷体_GB2312" w:hint="eastAsia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33F302F7" w14:textId="6894BAF1" w:rsidR="00F40483" w:rsidRDefault="005D43E5" w:rsidP="00F40483">
      <w:pPr>
        <w:rPr>
          <w:rFonts w:ascii="宋体" w:hAnsi="宋体"/>
          <w:color w:val="000000" w:themeColor="text1"/>
          <w:sz w:val="24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bookmarkStart w:id="4" w:name="_Toc437504802"/>
      <w:bookmarkStart w:id="5" w:name="_Toc437504714"/>
      <w:bookmarkEnd w:id="2"/>
      <w:bookmarkEnd w:id="3"/>
      <w:r w:rsidR="00F40483">
        <w:rPr>
          <w:rFonts w:ascii="黑体" w:eastAsia="黑体" w:hAnsi="宋体"/>
          <w:b/>
          <w:bCs/>
          <w:sz w:val="30"/>
          <w:szCs w:val="30"/>
        </w:rPr>
        <w:t>:</w:t>
      </w:r>
      <w:r w:rsidR="00F40483" w:rsidRPr="00ED3396">
        <w:rPr>
          <w:rFonts w:ascii="黑体" w:eastAsia="黑体" w:hAnsi="宋体" w:hint="eastAsia"/>
          <w:b/>
          <w:bCs/>
          <w:sz w:val="30"/>
          <w:szCs w:val="30"/>
        </w:rPr>
        <w:t>计算机是行业环境效应的催化剂</w:t>
      </w:r>
    </w:p>
    <w:p w14:paraId="28F6E7D1" w14:textId="2B55D81A" w:rsidR="00F40483" w:rsidRDefault="00F40483" w:rsidP="00E845F0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计算机有</w:t>
      </w:r>
      <w:r w:rsidR="00E845F0">
        <w:rPr>
          <w:rFonts w:ascii="宋体" w:hAnsi="宋体" w:hint="eastAsia"/>
          <w:color w:val="000000" w:themeColor="text1"/>
          <w:sz w:val="24"/>
        </w:rPr>
        <w:t>或者</w:t>
      </w:r>
      <w:r>
        <w:rPr>
          <w:rFonts w:ascii="宋体" w:hAnsi="宋体" w:hint="eastAsia"/>
          <w:color w:val="000000" w:themeColor="text1"/>
          <w:sz w:val="24"/>
        </w:rPr>
        <w:t>作为计算设备</w:t>
      </w:r>
      <w:r w:rsidR="00E845F0">
        <w:rPr>
          <w:rFonts w:ascii="宋体" w:hAnsi="宋体" w:hint="eastAsia"/>
          <w:color w:val="000000" w:themeColor="text1"/>
          <w:sz w:val="24"/>
        </w:rPr>
        <w:t>、或者进行设备间信息共享</w:t>
      </w:r>
      <w:r>
        <w:rPr>
          <w:rFonts w:ascii="宋体" w:hAnsi="宋体" w:hint="eastAsia"/>
          <w:color w:val="000000" w:themeColor="text1"/>
          <w:sz w:val="24"/>
        </w:rPr>
        <w:t>,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作为信息交换设备时允许计算设备间交换信息资源,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使得人类的生产设备自动化程度更高,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提升生产效率和生产环境的控制能力</w:t>
      </w:r>
      <w:r>
        <w:rPr>
          <w:rFonts w:ascii="宋体" w:hAnsi="宋体"/>
          <w:color w:val="000000" w:themeColor="text1"/>
          <w:sz w:val="24"/>
        </w:rPr>
        <w:t xml:space="preserve">. </w:t>
      </w:r>
    </w:p>
    <w:p w14:paraId="51B0E963" w14:textId="77777777" w:rsidR="00F40483" w:rsidRDefault="00F40483" w:rsidP="00E845F0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计算机以工具属性出现时,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和电话、短信一样,</w:t>
      </w:r>
      <w:r>
        <w:rPr>
          <w:rFonts w:ascii="宋体" w:hAnsi="宋体"/>
          <w:color w:val="000000" w:themeColor="text1"/>
          <w:sz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</w:rPr>
        <w:t>它们在抽象意义上的逻辑概念与现实环境是没有交互的</w:t>
      </w:r>
      <w:r>
        <w:rPr>
          <w:rFonts w:ascii="宋体" w:hAnsi="宋体"/>
          <w:color w:val="000000" w:themeColor="text1"/>
          <w:sz w:val="24"/>
        </w:rPr>
        <w:t xml:space="preserve">, </w:t>
      </w:r>
      <w:r>
        <w:rPr>
          <w:rFonts w:ascii="宋体" w:hAnsi="宋体" w:hint="eastAsia"/>
          <w:color w:val="000000" w:themeColor="text1"/>
          <w:sz w:val="24"/>
        </w:rPr>
        <w:t>它们与环境的交互只能通过其物理载体来实现.</w:t>
      </w:r>
      <w:r>
        <w:rPr>
          <w:rFonts w:ascii="宋体" w:hAnsi="宋体"/>
          <w:color w:val="000000" w:themeColor="text1"/>
          <w:sz w:val="24"/>
        </w:rPr>
        <w:t xml:space="preserve"> </w:t>
      </w:r>
    </w:p>
    <w:p w14:paraId="292E7996" w14:textId="19EC480D" w:rsidR="00F40483" w:rsidRDefault="00F40483" w:rsidP="00E845F0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各个行业都有自己的物理载体,这些物理载体在计算机的影响下,或者</w:t>
      </w:r>
      <w:r w:rsidR="006E28F8">
        <w:rPr>
          <w:rFonts w:ascii="宋体" w:hAnsi="宋体" w:hint="eastAsia"/>
          <w:color w:val="000000" w:themeColor="text1"/>
          <w:sz w:val="24"/>
        </w:rPr>
        <w:t>对环境的影响可以忽略不计,几乎可以构成一个生态闭环</w:t>
      </w:r>
      <w:r w:rsidR="00E845F0">
        <w:rPr>
          <w:rFonts w:ascii="宋体" w:hAnsi="宋体" w:hint="eastAsia"/>
          <w:color w:val="000000" w:themeColor="text1"/>
          <w:sz w:val="24"/>
        </w:rPr>
        <w:t>,</w:t>
      </w:r>
      <w:r w:rsidR="00E845F0">
        <w:rPr>
          <w:rFonts w:ascii="宋体" w:hAnsi="宋体"/>
          <w:color w:val="000000" w:themeColor="text1"/>
          <w:sz w:val="24"/>
        </w:rPr>
        <w:t xml:space="preserve"> </w:t>
      </w:r>
      <w:r w:rsidR="00E845F0">
        <w:rPr>
          <w:rFonts w:ascii="宋体" w:hAnsi="宋体" w:hint="eastAsia"/>
          <w:color w:val="000000" w:themeColor="text1"/>
          <w:sz w:val="24"/>
        </w:rPr>
        <w:t>或者环境的负面效应也被放大</w:t>
      </w:r>
      <w:r w:rsidR="006E28F8">
        <w:rPr>
          <w:rFonts w:ascii="宋体" w:hAnsi="宋体" w:hint="eastAsia"/>
          <w:color w:val="000000" w:themeColor="text1"/>
          <w:sz w:val="24"/>
        </w:rPr>
        <w:t>,</w:t>
      </w:r>
      <w:r w:rsidR="006E28F8">
        <w:rPr>
          <w:rFonts w:ascii="宋体" w:hAnsi="宋体"/>
          <w:color w:val="000000" w:themeColor="text1"/>
          <w:sz w:val="24"/>
        </w:rPr>
        <w:t xml:space="preserve"> </w:t>
      </w:r>
      <w:r w:rsidR="000C474C">
        <w:rPr>
          <w:rFonts w:ascii="宋体" w:hAnsi="宋体" w:hint="eastAsia"/>
          <w:color w:val="000000" w:themeColor="text1"/>
          <w:sz w:val="24"/>
        </w:rPr>
        <w:t>倒逼行业寻找更可靠的实现体系</w:t>
      </w:r>
      <w:r w:rsidR="00E845F0">
        <w:rPr>
          <w:rFonts w:ascii="宋体" w:hAnsi="宋体"/>
          <w:color w:val="000000" w:themeColor="text1"/>
          <w:sz w:val="24"/>
        </w:rPr>
        <w:t>.</w:t>
      </w:r>
    </w:p>
    <w:p w14:paraId="0CAC34F5" w14:textId="23DD3684" w:rsidR="00E845F0" w:rsidRPr="00E845F0" w:rsidRDefault="00E845F0" w:rsidP="00E845F0">
      <w:pPr>
        <w:spacing w:line="300" w:lineRule="auto"/>
        <w:ind w:firstLineChars="200" w:firstLine="480"/>
        <w:rPr>
          <w:rFonts w:ascii="黑体" w:eastAsia="黑体" w:hAnsi="宋体" w:hint="eastAsia"/>
          <w:b/>
          <w:bCs/>
          <w:sz w:val="30"/>
          <w:szCs w:val="30"/>
        </w:rPr>
      </w:pPr>
      <w:r>
        <w:rPr>
          <w:rFonts w:ascii="宋体" w:hAnsi="宋体" w:hint="eastAsia"/>
          <w:color w:val="000000" w:themeColor="text1"/>
          <w:sz w:val="24"/>
        </w:rPr>
        <w:t>从计算机行业本身来讲,受益于已有的计算机,计算设备对环境的影响随着计算技术的迭代</w:t>
      </w:r>
      <w:r>
        <w:rPr>
          <w:rFonts w:ascii="宋体" w:hAnsi="宋体"/>
          <w:color w:val="000000" w:themeColor="text1"/>
          <w:sz w:val="24"/>
        </w:rPr>
        <w:t>,</w:t>
      </w:r>
      <w:r>
        <w:rPr>
          <w:rFonts w:ascii="宋体" w:hAnsi="宋体" w:hint="eastAsia"/>
          <w:color w:val="000000" w:themeColor="text1"/>
          <w:sz w:val="24"/>
        </w:rPr>
        <w:t>特别是芯片制程工艺的提高,变得越来越弱,计算机的能耗越来越低,计算部件寿命越来越长</w:t>
      </w:r>
      <w:r>
        <w:rPr>
          <w:rFonts w:ascii="宋体" w:hAnsi="宋体"/>
          <w:color w:val="000000" w:themeColor="text1"/>
          <w:sz w:val="24"/>
        </w:rPr>
        <w:t>.</w:t>
      </w:r>
    </w:p>
    <w:p w14:paraId="69A5F07E" w14:textId="0820E9E3" w:rsidR="00E845F0" w:rsidRPr="00ED3396" w:rsidRDefault="00F40483" w:rsidP="007F595D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2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r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4"/>
      <w:bookmarkEnd w:id="5"/>
      <w:r w:rsidR="007F595D">
        <w:rPr>
          <w:rFonts w:ascii="黑体" w:eastAsia="黑体" w:hAnsi="宋体" w:hint="eastAsia"/>
          <w:bCs/>
          <w:color w:val="0000FF"/>
          <w:sz w:val="30"/>
          <w:szCs w:val="30"/>
        </w:rPr>
        <w:t>:</w:t>
      </w:r>
      <w:r w:rsidR="00E845F0" w:rsidRPr="00ED3396">
        <w:rPr>
          <w:rFonts w:ascii="黑体" w:eastAsia="黑体" w:hAnsi="宋体" w:hint="eastAsia"/>
          <w:b/>
          <w:bCs/>
          <w:sz w:val="30"/>
          <w:szCs w:val="30"/>
        </w:rPr>
        <w:t>计算机的互联计算能力成为传统行业引爆点.</w:t>
      </w:r>
    </w:p>
    <w:p w14:paraId="4BB06286" w14:textId="29F568DE" w:rsidR="00E845F0" w:rsidRDefault="00E845F0" w:rsidP="007F595D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E845F0">
        <w:rPr>
          <w:rFonts w:ascii="宋体" w:hAnsi="宋体" w:hint="eastAsia"/>
          <w:color w:val="000000" w:themeColor="text1"/>
          <w:sz w:val="24"/>
        </w:rPr>
        <w:t>2011年，老牌制造业强国德国在汉诺威工业博览会提出“工业4.0”</w:t>
      </w:r>
      <w:r>
        <w:rPr>
          <w:rFonts w:ascii="宋体" w:hAnsi="宋体" w:hint="eastAsia"/>
          <w:color w:val="000000" w:themeColor="text1"/>
          <w:sz w:val="24"/>
        </w:rPr>
        <w:t>;</w:t>
      </w:r>
      <w:r w:rsidRPr="00E845F0">
        <w:rPr>
          <w:rFonts w:ascii="宋体" w:hAnsi="宋体" w:hint="eastAsia"/>
          <w:color w:val="000000" w:themeColor="text1"/>
          <w:sz w:val="24"/>
        </w:rPr>
        <w:t xml:space="preserve"> </w:t>
      </w:r>
      <w:r w:rsidRPr="00E845F0">
        <w:rPr>
          <w:rFonts w:ascii="宋体" w:hAnsi="宋体" w:hint="eastAsia"/>
          <w:color w:val="000000" w:themeColor="text1"/>
          <w:sz w:val="24"/>
        </w:rPr>
        <w:t>2012年，</w:t>
      </w:r>
      <w:r>
        <w:rPr>
          <w:rFonts w:ascii="宋体" w:hAnsi="宋体" w:hint="eastAsia"/>
          <w:color w:val="000000" w:themeColor="text1"/>
          <w:sz w:val="24"/>
        </w:rPr>
        <w:t>美国</w:t>
      </w:r>
      <w:r w:rsidRPr="00E845F0">
        <w:rPr>
          <w:rFonts w:ascii="宋体" w:hAnsi="宋体" w:hint="eastAsia"/>
          <w:color w:val="000000" w:themeColor="text1"/>
          <w:sz w:val="24"/>
        </w:rPr>
        <w:t>工业互联网联盟</w:t>
      </w:r>
      <w:r>
        <w:rPr>
          <w:rFonts w:ascii="宋体" w:hAnsi="宋体" w:hint="eastAsia"/>
          <w:color w:val="000000" w:themeColor="text1"/>
          <w:sz w:val="24"/>
        </w:rPr>
        <w:t>倡导</w:t>
      </w:r>
      <w:r w:rsidRPr="00E845F0">
        <w:rPr>
          <w:rFonts w:ascii="宋体" w:hAnsi="宋体" w:hint="eastAsia"/>
          <w:color w:val="000000" w:themeColor="text1"/>
          <w:sz w:val="24"/>
        </w:rPr>
        <w:t>“工业互联网”</w:t>
      </w:r>
      <w:r>
        <w:rPr>
          <w:rFonts w:ascii="宋体" w:hAnsi="宋体"/>
          <w:color w:val="000000" w:themeColor="text1"/>
          <w:sz w:val="24"/>
        </w:rPr>
        <w:t>;2015</w:t>
      </w:r>
      <w:r>
        <w:rPr>
          <w:rFonts w:ascii="宋体" w:hAnsi="宋体" w:hint="eastAsia"/>
          <w:color w:val="000000" w:themeColor="text1"/>
          <w:sz w:val="24"/>
        </w:rPr>
        <w:t>年,</w:t>
      </w:r>
      <w:r w:rsidRPr="00E845F0">
        <w:rPr>
          <w:rFonts w:ascii="宋体" w:hAnsi="宋体" w:hint="eastAsia"/>
          <w:color w:val="000000" w:themeColor="text1"/>
          <w:sz w:val="24"/>
        </w:rPr>
        <w:t>中国政府相继颁布“中国制造2025”和“互联网+”的法律条文</w:t>
      </w:r>
      <w:r>
        <w:rPr>
          <w:rFonts w:ascii="宋体" w:hAnsi="宋体" w:hint="eastAsia"/>
          <w:color w:val="000000" w:themeColor="text1"/>
          <w:sz w:val="24"/>
        </w:rPr>
        <w:t>.</w:t>
      </w:r>
      <w:r w:rsidRPr="00E845F0">
        <w:rPr>
          <w:rFonts w:ascii="宋体" w:hAnsi="宋体" w:hint="eastAsia"/>
          <w:color w:val="000000" w:themeColor="text1"/>
          <w:sz w:val="24"/>
        </w:rPr>
        <w:t>传统行业</w:t>
      </w:r>
      <w:r>
        <w:rPr>
          <w:rFonts w:ascii="宋体" w:hAnsi="宋体" w:hint="eastAsia"/>
          <w:color w:val="000000" w:themeColor="text1"/>
          <w:sz w:val="24"/>
        </w:rPr>
        <w:t>,</w:t>
      </w:r>
      <w:r>
        <w:rPr>
          <w:rFonts w:ascii="宋体" w:hAnsi="宋体"/>
          <w:color w:val="000000" w:themeColor="text1"/>
          <w:sz w:val="24"/>
        </w:rPr>
        <w:t xml:space="preserve"> </w:t>
      </w:r>
      <w:r w:rsidRPr="00E845F0">
        <w:rPr>
          <w:rFonts w:ascii="宋体" w:hAnsi="宋体" w:hint="eastAsia"/>
          <w:color w:val="000000" w:themeColor="text1"/>
          <w:sz w:val="24"/>
        </w:rPr>
        <w:t>尤其是制造业的信息化已经成为新的发展目标。</w:t>
      </w:r>
    </w:p>
    <w:p w14:paraId="3BAF1FB3" w14:textId="6DDEA452" w:rsidR="00E845F0" w:rsidRPr="00E845F0" w:rsidRDefault="00235E42" w:rsidP="007F595D">
      <w:pPr>
        <w:spacing w:line="300" w:lineRule="auto"/>
        <w:ind w:firstLineChars="200" w:firstLine="480"/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物联网拓展传统行业感知度,打破信息屏障,为原有行业构件的环境感知和生产改造能力赋能</w:t>
      </w:r>
      <w:r>
        <w:rPr>
          <w:rFonts w:ascii="宋体" w:hAnsi="宋体"/>
          <w:color w:val="000000" w:themeColor="text1"/>
          <w:sz w:val="24"/>
        </w:rPr>
        <w:t>.</w:t>
      </w:r>
      <w:r w:rsidR="00E845F0" w:rsidRPr="00E845F0">
        <w:rPr>
          <w:rFonts w:ascii="宋体" w:hAnsi="宋体"/>
          <w:color w:val="000000" w:themeColor="text1"/>
          <w:sz w:val="24"/>
        </w:rPr>
        <w:t>工业互联网平台是对传统工业IT的全面升级。即结合云计算、大数据以及人工智能等底层技术，工业互联网相对传统模式在技术架构和数据价值上均有大幅提升</w:t>
      </w:r>
      <w:r w:rsidR="00E845F0" w:rsidRPr="007F595D">
        <w:rPr>
          <w:rFonts w:ascii="宋体" w:hAnsi="宋体" w:hint="eastAsia"/>
          <w:color w:val="000000" w:themeColor="text1"/>
          <w:sz w:val="24"/>
        </w:rPr>
        <w:t>.</w:t>
      </w:r>
    </w:p>
    <w:p w14:paraId="0B0226F5" w14:textId="120F3E88" w:rsidR="00F40483" w:rsidRDefault="007F595D" w:rsidP="007F595D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7F595D">
        <w:rPr>
          <w:rFonts w:ascii="宋体" w:hAnsi="宋体" w:hint="eastAsia"/>
          <w:color w:val="000000" w:themeColor="text1"/>
          <w:sz w:val="24"/>
        </w:rPr>
        <w:t>工信部近日公布的数据显示，今年以来，在电子设备制造、工程机械、电力、钢铁等重点领域，工业互联网加速落地深耕，释放出推动传统工业转型升级的倍增效益。</w:t>
      </w:r>
    </w:p>
    <w:p w14:paraId="43B27FBF" w14:textId="31DB9E06" w:rsidR="007F595D" w:rsidRDefault="005D43E5">
      <w:pPr>
        <w:rPr>
          <w:rFonts w:ascii="黑体" w:eastAsia="黑体" w:hint="eastAsia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6"/>
      <w:bookmarkEnd w:id="7"/>
    </w:p>
    <w:p w14:paraId="0B23EE1C" w14:textId="29D8BB25" w:rsidR="007F595D" w:rsidRPr="007F595D" w:rsidRDefault="007F595D" w:rsidP="007F595D">
      <w:pPr>
        <w:spacing w:line="300" w:lineRule="auto"/>
        <w:ind w:leftChars="50" w:left="105" w:firstLineChars="150" w:firstLine="360"/>
        <w:rPr>
          <w:rFonts w:ascii="宋体" w:hAnsi="宋体"/>
          <w:sz w:val="24"/>
        </w:rPr>
      </w:pPr>
      <w:r w:rsidRPr="007F595D">
        <w:rPr>
          <w:rFonts w:ascii="宋体" w:hAnsi="宋体" w:hint="eastAsia"/>
          <w:sz w:val="24"/>
        </w:rPr>
        <w:t>聊天软件具备的通信属性、实际上是计算机通信功能在计算机体系的一个内部具体实现</w:t>
      </w:r>
      <w:r w:rsidR="004B646D">
        <w:rPr>
          <w:rFonts w:ascii="宋体" w:hAnsi="宋体" w:hint="eastAsia"/>
          <w:sz w:val="24"/>
        </w:rPr>
        <w:t>,</w:t>
      </w:r>
      <w:r w:rsidR="004B646D">
        <w:rPr>
          <w:rFonts w:ascii="宋体" w:hAnsi="宋体"/>
          <w:sz w:val="24"/>
        </w:rPr>
        <w:t xml:space="preserve"> </w:t>
      </w:r>
      <w:r w:rsidR="004B646D">
        <w:rPr>
          <w:rFonts w:ascii="宋体" w:hAnsi="宋体" w:hint="eastAsia"/>
          <w:sz w:val="24"/>
        </w:rPr>
        <w:t>其社会环境和自然环境影响评价依赖于具体场景</w:t>
      </w:r>
      <w:r w:rsidRPr="007F595D">
        <w:rPr>
          <w:rFonts w:ascii="宋体" w:hAnsi="宋体"/>
          <w:sz w:val="24"/>
        </w:rPr>
        <w:t>.</w:t>
      </w:r>
    </w:p>
    <w:p w14:paraId="2B2EF4A7" w14:textId="62396A77" w:rsidR="001A2597" w:rsidRPr="007F595D" w:rsidRDefault="007F595D" w:rsidP="007F595D">
      <w:pPr>
        <w:spacing w:line="300" w:lineRule="auto"/>
        <w:ind w:leftChars="50" w:left="105" w:firstLineChars="150" w:firstLine="360"/>
        <w:rPr>
          <w:rFonts w:ascii="宋体" w:hAnsi="宋体"/>
          <w:sz w:val="24"/>
        </w:rPr>
      </w:pPr>
      <w:r w:rsidRPr="007F595D">
        <w:rPr>
          <w:rFonts w:ascii="宋体" w:hAnsi="宋体" w:hint="eastAsia"/>
          <w:sz w:val="24"/>
        </w:rPr>
        <w:t>计算机通信功能的其他实现,</w:t>
      </w:r>
      <w:r w:rsidRPr="007F595D">
        <w:rPr>
          <w:rFonts w:ascii="宋体" w:hAnsi="宋体"/>
          <w:sz w:val="24"/>
        </w:rPr>
        <w:t xml:space="preserve"> </w:t>
      </w:r>
      <w:r w:rsidRPr="007F595D">
        <w:rPr>
          <w:rFonts w:ascii="宋体" w:hAnsi="宋体" w:hint="eastAsia"/>
          <w:sz w:val="24"/>
        </w:rPr>
        <w:t>特别是</w:t>
      </w:r>
      <w:r>
        <w:rPr>
          <w:rFonts w:ascii="宋体" w:hAnsi="宋体" w:hint="eastAsia"/>
          <w:sz w:val="24"/>
        </w:rPr>
        <w:t>重点领域的</w:t>
      </w:r>
      <w:r w:rsidRPr="007F595D">
        <w:rPr>
          <w:rFonts w:ascii="宋体" w:hAnsi="宋体" w:hint="eastAsia"/>
          <w:sz w:val="24"/>
        </w:rPr>
        <w:t>工业互联网矩阵</w:t>
      </w:r>
      <w:r>
        <w:rPr>
          <w:rFonts w:ascii="宋体" w:hAnsi="宋体" w:hint="eastAsia"/>
          <w:sz w:val="24"/>
        </w:rPr>
        <w:t>加速落地深耕</w:t>
      </w:r>
      <w:r w:rsidRPr="007F595D">
        <w:rPr>
          <w:rFonts w:ascii="宋体" w:hAnsi="宋体" w:hint="eastAsia"/>
          <w:sz w:val="24"/>
        </w:rPr>
        <w:t>,</w:t>
      </w:r>
      <w:r w:rsidRPr="007F595D">
        <w:rPr>
          <w:rFonts w:ascii="宋体" w:hAnsi="宋体"/>
          <w:sz w:val="24"/>
        </w:rPr>
        <w:t xml:space="preserve"> </w:t>
      </w:r>
      <w:r w:rsidRPr="007F595D">
        <w:rPr>
          <w:rFonts w:ascii="宋体" w:hAnsi="宋体" w:hint="eastAsia"/>
          <w:sz w:val="24"/>
        </w:rPr>
        <w:t>为工业互联网数据价值赋能,为工业互联网感知能力提供了计算闭环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增强了传统行业的可持续发展能力,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释放出经济环境双重效益</w:t>
      </w:r>
      <w:r w:rsidRPr="007F595D">
        <w:rPr>
          <w:rFonts w:ascii="宋体" w:hAnsi="宋体"/>
          <w:sz w:val="24"/>
        </w:rPr>
        <w:t>.</w:t>
      </w:r>
    </w:p>
    <w:p w14:paraId="2C7A1D9A" w14:textId="5A6E3ED7" w:rsidR="007F595D" w:rsidRPr="00712247" w:rsidRDefault="007F595D" w:rsidP="007F595D">
      <w:pPr>
        <w:spacing w:line="300" w:lineRule="auto"/>
        <w:ind w:leftChars="50" w:left="105"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综上，</w:t>
      </w:r>
      <w:r>
        <w:rPr>
          <w:rFonts w:ascii="宋体" w:hAnsi="宋体" w:hint="eastAsia"/>
          <w:sz w:val="24"/>
        </w:rPr>
        <w:t>计算机互联网信息交换</w:t>
      </w:r>
      <w:r>
        <w:rPr>
          <w:rFonts w:ascii="宋体" w:hAnsi="宋体" w:hint="eastAsia"/>
          <w:sz w:val="24"/>
        </w:rPr>
        <w:t>解决方案在</w:t>
      </w:r>
      <w:r>
        <w:rPr>
          <w:rFonts w:ascii="宋体" w:hAnsi="宋体" w:hint="eastAsia"/>
          <w:sz w:val="24"/>
        </w:rPr>
        <w:t>提供了传统行业环境感知方法论的前提下,为</w:t>
      </w:r>
      <w:r>
        <w:rPr>
          <w:rFonts w:ascii="宋体" w:hAnsi="宋体" w:hint="eastAsia"/>
          <w:sz w:val="24"/>
        </w:rPr>
        <w:t>保证自然环境和社会环境的长期可持续发展</w:t>
      </w:r>
      <w:r>
        <w:rPr>
          <w:rFonts w:ascii="宋体" w:hAnsi="宋体" w:hint="eastAsia"/>
          <w:sz w:val="24"/>
        </w:rPr>
        <w:t>输出了催化剂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为可持续发展赛道引入新的玩法</w:t>
      </w:r>
      <w:r>
        <w:rPr>
          <w:rFonts w:ascii="宋体" w:hAnsi="宋体" w:hint="eastAsia"/>
          <w:sz w:val="24"/>
        </w:rPr>
        <w:t>。</w:t>
      </w:r>
    </w:p>
    <w:p w14:paraId="2578F5CA" w14:textId="77777777" w:rsidR="007F595D" w:rsidRPr="00F40483" w:rsidRDefault="007F595D" w:rsidP="00F40483">
      <w:pPr>
        <w:rPr>
          <w:rFonts w:ascii="宋体" w:hAnsi="宋体" w:hint="eastAsia"/>
          <w:color w:val="000000" w:themeColor="text1"/>
          <w:sz w:val="24"/>
        </w:rPr>
      </w:pPr>
    </w:p>
    <w:sectPr w:rsidR="007F595D" w:rsidRPr="00F4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06DC" w14:textId="77777777" w:rsidR="009979D1" w:rsidRDefault="009979D1" w:rsidP="002A719F">
      <w:r>
        <w:separator/>
      </w:r>
    </w:p>
  </w:endnote>
  <w:endnote w:type="continuationSeparator" w:id="0">
    <w:p w14:paraId="1564F3FB" w14:textId="77777777" w:rsidR="009979D1" w:rsidRDefault="009979D1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98C2" w14:textId="77777777" w:rsidR="009979D1" w:rsidRDefault="009979D1" w:rsidP="002A719F">
      <w:r>
        <w:separator/>
      </w:r>
    </w:p>
  </w:footnote>
  <w:footnote w:type="continuationSeparator" w:id="0">
    <w:p w14:paraId="488AFD9B" w14:textId="77777777" w:rsidR="009979D1" w:rsidRDefault="009979D1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C474C"/>
    <w:rsid w:val="0010340D"/>
    <w:rsid w:val="00114F50"/>
    <w:rsid w:val="00127FCB"/>
    <w:rsid w:val="001A2597"/>
    <w:rsid w:val="00235E42"/>
    <w:rsid w:val="002A1362"/>
    <w:rsid w:val="002A719F"/>
    <w:rsid w:val="0033475E"/>
    <w:rsid w:val="003C4095"/>
    <w:rsid w:val="00401BFC"/>
    <w:rsid w:val="00406FCF"/>
    <w:rsid w:val="004B646D"/>
    <w:rsid w:val="00574025"/>
    <w:rsid w:val="00584ED3"/>
    <w:rsid w:val="005A7BB5"/>
    <w:rsid w:val="005B5A42"/>
    <w:rsid w:val="005D43E5"/>
    <w:rsid w:val="005F3C7B"/>
    <w:rsid w:val="006E28F8"/>
    <w:rsid w:val="007F595D"/>
    <w:rsid w:val="008A5C9A"/>
    <w:rsid w:val="008E476E"/>
    <w:rsid w:val="008F5044"/>
    <w:rsid w:val="008F68EA"/>
    <w:rsid w:val="00923FA3"/>
    <w:rsid w:val="00927623"/>
    <w:rsid w:val="009979D1"/>
    <w:rsid w:val="00A01732"/>
    <w:rsid w:val="00AC3955"/>
    <w:rsid w:val="00AC512E"/>
    <w:rsid w:val="00AF31E0"/>
    <w:rsid w:val="00B5540E"/>
    <w:rsid w:val="00C00B37"/>
    <w:rsid w:val="00C71F0F"/>
    <w:rsid w:val="00D55438"/>
    <w:rsid w:val="00DF0B61"/>
    <w:rsid w:val="00E845F0"/>
    <w:rsid w:val="00ED3396"/>
    <w:rsid w:val="00F40483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12CED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CBF0E-3752-7B42-9773-14356D031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陆 仁贾</cp:lastModifiedBy>
  <cp:revision>24</cp:revision>
  <dcterms:created xsi:type="dcterms:W3CDTF">2016-10-24T02:06:00Z</dcterms:created>
  <dcterms:modified xsi:type="dcterms:W3CDTF">2021-09-02T16:34:00Z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