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48CD6">
      <w:pPr>
        <w:rPr>
          <w:b w:val="0"/>
          <w:bCs w:val="0"/>
        </w:rPr>
      </w:pPr>
    </w:p>
    <w:p w14:paraId="6D3D8444">
      <w:pPr>
        <w:rPr>
          <w:b w:val="0"/>
          <w:bCs w:val="0"/>
        </w:rPr>
      </w:pPr>
    </w:p>
    <w:p w14:paraId="2D6B1A1E">
      <w:pPr>
        <w:rPr>
          <w:b w:val="0"/>
          <w:bCs w:val="0"/>
        </w:rPr>
      </w:pPr>
    </w:p>
    <w:p w14:paraId="02C20258">
      <w:pPr>
        <w:rPr>
          <w:rFonts w:hint="eastAsia" w:ascii="黑体" w:hAnsi="黑体" w:eastAsia="黑体" w:cs="黑体"/>
          <w:b w:val="0"/>
          <w:bCs w:val="0"/>
        </w:rPr>
      </w:pPr>
    </w:p>
    <w:p w14:paraId="4B389640">
      <w:pPr>
        <w:spacing w:before="0" w:after="360" w:line="300" w:lineRule="auto"/>
        <w:jc w:val="center"/>
        <w:rPr>
          <w:rFonts w:hint="eastAsia" w:ascii="黑体" w:hAnsi="黑体" w:eastAsia="黑体" w:cs="黑体"/>
          <w:b w:val="0"/>
          <w:bCs w:val="0"/>
        </w:rPr>
      </w:pPr>
      <w:r>
        <w:rPr>
          <w:rFonts w:hint="eastAsia" w:ascii="黑体" w:hAnsi="黑体" w:eastAsia="黑体" w:cs="黑体"/>
          <w:b w:val="0"/>
          <w:bCs w:val="0"/>
          <w:color w:val="000000"/>
          <w:sz w:val="44"/>
        </w:rPr>
        <w:t>华东理工大学</w:t>
      </w:r>
    </w:p>
    <w:p w14:paraId="374D9C35">
      <w:pPr>
        <w:spacing w:before="0" w:after="680" w:line="300" w:lineRule="auto"/>
        <w:jc w:val="center"/>
        <w:rPr>
          <w:rFonts w:hint="eastAsia" w:ascii="黑体" w:hAnsi="黑体" w:eastAsia="黑体" w:cs="黑体"/>
          <w:b w:val="0"/>
          <w:bCs w:val="0"/>
        </w:rPr>
      </w:pPr>
      <w:r>
        <w:rPr>
          <w:rFonts w:hint="eastAsia" w:ascii="黑体" w:hAnsi="黑体" w:eastAsia="黑体" w:cs="黑体"/>
          <w:b w:val="0"/>
          <w:bCs w:val="0"/>
          <w:color w:val="000000"/>
          <w:sz w:val="36"/>
        </w:rPr>
        <w:t>硕士课程作业报告</w:t>
      </w:r>
    </w:p>
    <w:p w14:paraId="41EF3B19">
      <w:pPr>
        <w:spacing w:before="0" w:after="1000" w:line="300" w:lineRule="auto"/>
        <w:jc w:val="center"/>
        <w:rPr>
          <w:rFonts w:hint="eastAsia" w:ascii="黑体" w:hAnsi="黑体" w:eastAsia="黑体" w:cs="黑体"/>
          <w:b w:val="0"/>
          <w:bCs w:val="0"/>
        </w:rPr>
      </w:pPr>
      <w:r>
        <w:rPr>
          <w:rFonts w:hint="eastAsia" w:ascii="黑体" w:hAnsi="黑体" w:eastAsia="黑体" w:cs="黑体"/>
          <w:b w:val="0"/>
          <w:bCs w:val="0"/>
          <w:color w:val="000000"/>
          <w:sz w:val="36"/>
        </w:rPr>
        <w:t>基于 XGBoost 的 ETF 动态轮动策略研究</w:t>
      </w:r>
    </w:p>
    <w:p w14:paraId="092DF234">
      <w:pPr>
        <w:spacing w:before="0" w:after="160" w:line="300" w:lineRule="auto"/>
        <w:jc w:val="center"/>
        <w:rPr>
          <w:rFonts w:hint="eastAsia" w:ascii="黑体" w:hAnsi="黑体" w:eastAsia="黑体" w:cs="黑体"/>
          <w:b w:val="0"/>
          <w:bCs w:val="0"/>
        </w:rPr>
      </w:pPr>
      <w:r>
        <w:rPr>
          <w:rFonts w:hint="eastAsia" w:ascii="黑体" w:hAnsi="黑体" w:eastAsia="黑体" w:cs="黑体"/>
          <w:b w:val="0"/>
          <w:bCs w:val="0"/>
          <w:color w:val="000000"/>
          <w:sz w:val="24"/>
        </w:rPr>
        <w:t>专业：金融</w:t>
      </w:r>
    </w:p>
    <w:p w14:paraId="340B6365">
      <w:pPr>
        <w:spacing w:before="0" w:after="160" w:line="300" w:lineRule="auto"/>
        <w:jc w:val="center"/>
        <w:rPr>
          <w:rFonts w:hint="eastAsia" w:ascii="黑体" w:hAnsi="黑体" w:eastAsia="黑体" w:cs="黑体"/>
          <w:b w:val="0"/>
          <w:bCs w:val="0"/>
        </w:rPr>
      </w:pPr>
      <w:r>
        <w:rPr>
          <w:rFonts w:hint="eastAsia" w:ascii="黑体" w:hAnsi="黑体" w:eastAsia="黑体" w:cs="黑体"/>
          <w:b w:val="0"/>
          <w:bCs w:val="0"/>
          <w:color w:val="000000"/>
          <w:sz w:val="24"/>
        </w:rPr>
        <w:t>班级：25MF1班</w:t>
      </w:r>
    </w:p>
    <w:p w14:paraId="65F0101C">
      <w:pPr>
        <w:spacing w:before="0" w:after="160" w:line="300" w:lineRule="auto"/>
        <w:jc w:val="center"/>
        <w:rPr>
          <w:rFonts w:hint="eastAsia" w:ascii="黑体" w:hAnsi="黑体" w:eastAsia="黑体" w:cs="黑体"/>
          <w:b w:val="0"/>
          <w:bCs w:val="0"/>
        </w:rPr>
      </w:pPr>
      <w:r>
        <w:rPr>
          <w:rFonts w:hint="eastAsia" w:ascii="黑体" w:hAnsi="黑体" w:eastAsia="黑体" w:cs="黑体"/>
          <w:b w:val="0"/>
          <w:bCs w:val="0"/>
          <w:color w:val="000000"/>
          <w:sz w:val="24"/>
        </w:rPr>
        <w:t>姓名：张冰</w:t>
      </w:r>
    </w:p>
    <w:p w14:paraId="13E030CF">
      <w:pPr>
        <w:spacing w:before="0" w:after="160" w:line="300" w:lineRule="auto"/>
        <w:jc w:val="center"/>
        <w:rPr>
          <w:rFonts w:hint="eastAsia" w:ascii="黑体" w:hAnsi="黑体" w:eastAsia="黑体" w:cs="黑体"/>
          <w:b w:val="0"/>
          <w:bCs w:val="0"/>
        </w:rPr>
      </w:pPr>
      <w:r>
        <w:rPr>
          <w:rFonts w:hint="eastAsia" w:ascii="黑体" w:hAnsi="黑体" w:eastAsia="黑体" w:cs="黑体"/>
          <w:b w:val="0"/>
          <w:bCs w:val="0"/>
          <w:color w:val="000000"/>
          <w:sz w:val="24"/>
        </w:rPr>
        <w:t>学号：Y40251197</w:t>
      </w:r>
    </w:p>
    <w:p w14:paraId="31A0E8CC">
      <w:pPr>
        <w:spacing w:before="600" w:after="0" w:line="300" w:lineRule="auto"/>
        <w:jc w:val="center"/>
        <w:rPr>
          <w:rFonts w:hint="eastAsia" w:ascii="黑体" w:hAnsi="黑体" w:eastAsia="黑体" w:cs="黑体"/>
          <w:b w:val="0"/>
          <w:bCs w:val="0"/>
        </w:rPr>
      </w:pPr>
      <w:r>
        <w:rPr>
          <w:rFonts w:hint="eastAsia" w:ascii="黑体" w:hAnsi="黑体" w:eastAsia="黑体" w:cs="黑体"/>
          <w:b w:val="0"/>
          <w:bCs w:val="0"/>
          <w:color w:val="000000"/>
          <w:sz w:val="24"/>
        </w:rPr>
        <w:t>2026 年 9 月</w:t>
      </w:r>
    </w:p>
    <w:p w14:paraId="72623754">
      <w:pPr>
        <w:rPr>
          <w:b w:val="0"/>
          <w:bCs w:val="0"/>
        </w:rPr>
        <w:sectPr>
          <w:pgSz w:w="11906" w:h="16838"/>
          <w:pgMar w:top="1587" w:right="1417" w:bottom="1134" w:left="1417" w:header="850" w:footer="680" w:gutter="0"/>
          <w:cols w:space="720" w:num="1"/>
          <w:docGrid w:linePitch="360" w:charSpace="0"/>
        </w:sectPr>
      </w:pPr>
    </w:p>
    <w:p w14:paraId="30FE8D5D">
      <w:pPr>
        <w:spacing w:before="0" w:after="240" w:line="300" w:lineRule="auto"/>
        <w:jc w:val="center"/>
        <w:rPr>
          <w:b w:val="0"/>
          <w:bCs w:val="0"/>
        </w:rPr>
      </w:pPr>
      <w:r>
        <w:rPr>
          <w:rFonts w:ascii="Times New Roman" w:hAnsi="Times New Roman" w:eastAsia="宋体"/>
          <w:b w:val="0"/>
          <w:bCs w:val="0"/>
          <w:color w:val="000000"/>
          <w:sz w:val="28"/>
        </w:rPr>
        <w:t>摘  要</w:t>
      </w:r>
    </w:p>
    <w:p w14:paraId="1E92AE90">
      <w:pPr>
        <w:spacing w:after="0" w:line="300" w:lineRule="auto"/>
        <w:ind w:firstLine="420"/>
        <w:jc w:val="both"/>
        <w:rPr>
          <w:b w:val="0"/>
          <w:bCs w:val="0"/>
        </w:rPr>
      </w:pPr>
      <w:r>
        <w:rPr>
          <w:rFonts w:ascii="Times New Roman" w:hAnsi="Times New Roman" w:eastAsia="宋体"/>
          <w:b w:val="0"/>
          <w:bCs w:val="0"/>
          <w:color w:val="000000"/>
          <w:sz w:val="24"/>
        </w:rPr>
        <w:t>本文构建一套面向中国权益类交易型开放式指数基金（Exchange-Traded Fund，ETF）的周频动态轮动策略。策略以未来20个交易日的横截面相对收益为预测目标，采用极端梯度提升（eXtreme Gradient Boosting，XGBoost）对10只宽基、风格和行业ETF进行横截面排序。模型输入包含22个动量、均线、波动、回撤、技术状态和量价特征；组合层采用“Top3进入、Top4保留”的持仓缓冲机制，并在持仓成员变化时按过去20日逆波动率重新分配权重。为降低金融时间序列中的标签重叠和回测过拟合风险，研究使用重叠样本剔除（Purging）、测试期后隔离（Embargo）以及组合式净化交叉验证（Combinatorial Purged Cross-Validation，CPCV）。此外，遗传规划（Genetic Programming，GP）仅作为候选特征发现方法，并通过嵌套式CPCV检验其增量价值；结果显示，加入GP特征后仅在5条样本外路径中的2条获得更高Sharpe比率，因此最终模型采用纯XGBoost。开发期策略累计收益38.67%，年化收益10.41%，Sharpe比率0.570，最大回撤-24.74%。在2026年6月15日至8月28日的最终独立测试集（Holdout）中，策略累计收益-5.82%，跑赢20日动量Top3基准，但未跑赢10只ETF等权买入持有和XGBoost Top3基准。已完整实现标签的6个测试期信号平均排序信息系数（Rank Information Coefficient，RankIC）为0.485。结果表明，模型具有一定横截面相对强弱识别能力，但该能力尚未稳定转化为绝对超额收益。</w:t>
      </w:r>
    </w:p>
    <w:p w14:paraId="2660C5D5">
      <w:pPr>
        <w:spacing w:line="300" w:lineRule="auto"/>
        <w:rPr>
          <w:b w:val="0"/>
          <w:bCs w:val="0"/>
        </w:rPr>
      </w:pPr>
      <w:r>
        <w:rPr>
          <w:rFonts w:ascii="Times New Roman" w:hAnsi="Times New Roman" w:eastAsia="宋体"/>
          <w:b/>
          <w:bCs/>
          <w:color w:val="000000"/>
          <w:sz w:val="24"/>
        </w:rPr>
        <w:t>关键词：</w:t>
      </w:r>
      <w:r>
        <w:rPr>
          <w:rFonts w:ascii="Times New Roman" w:hAnsi="Times New Roman" w:eastAsia="宋体"/>
          <w:b w:val="0"/>
          <w:bCs w:val="0"/>
          <w:color w:val="000000"/>
          <w:sz w:val="24"/>
        </w:rPr>
        <w:t>ETF轮动；XGBoost；横截面排序；CPCV；样本外检验</w:t>
      </w:r>
    </w:p>
    <w:p w14:paraId="11BB49CE">
      <w:pPr>
        <w:rPr>
          <w:b w:val="0"/>
          <w:bCs w:val="0"/>
        </w:rPr>
      </w:pPr>
      <w:r>
        <w:rPr>
          <w:b w:val="0"/>
          <w:bCs w:val="0"/>
        </w:rPr>
        <w:br w:type="page"/>
      </w:r>
    </w:p>
    <w:p w14:paraId="71C52789">
      <w:pPr>
        <w:pStyle w:val="4"/>
        <w:keepNext w:val="0"/>
        <w:keepLines w:val="0"/>
        <w:widowControl w:val="0"/>
        <w:spacing w:before="326" w:beforeLines="100" w:after="326" w:afterLines="100"/>
        <w:jc w:val="center"/>
        <w:rPr>
          <w:sz w:val="28"/>
          <w:szCs w:val="24"/>
        </w:rPr>
      </w:pPr>
      <w:bookmarkStart w:id="0" w:name="_Toc5935"/>
      <w:r>
        <w:rPr>
          <w:rFonts w:hint="eastAsia" w:ascii="Times New Roman" w:hAnsi="Times New Roman" w:eastAsia="宋体" w:cs="Times New Roman (正文 CS 字体)"/>
          <w:b/>
          <w:bCs/>
          <w:kern w:val="2"/>
          <w:sz w:val="28"/>
          <w:szCs w:val="28"/>
          <w:lang w:eastAsia="zh-CN"/>
        </w:rPr>
        <w:t>目  录</w:t>
      </w:r>
      <w:bookmarkEnd w:id="0"/>
      <w:r>
        <w:rPr>
          <w:rFonts w:hint="eastAsia"/>
          <w:lang w:eastAsia="zh-CN"/>
        </w:rPr>
        <w:fldChar w:fldCharType="begin"/>
      </w:r>
      <w:r>
        <w:rPr>
          <w:rFonts w:hint="eastAsia"/>
          <w:lang w:eastAsia="zh-CN"/>
        </w:rPr>
        <w:instrText xml:space="preserve">TOC \o "1-3" \h \u </w:instrText>
      </w:r>
      <w:r>
        <w:rPr>
          <w:rFonts w:hint="eastAsia"/>
          <w:lang w:eastAsia="zh-CN"/>
        </w:rPr>
        <w:fldChar w:fldCharType="separate"/>
      </w:r>
    </w:p>
    <w:p w14:paraId="2AC7876C">
      <w:pPr>
        <w:pStyle w:val="26"/>
        <w:tabs>
          <w:tab w:val="right" w:leader="dot" w:pos="9072"/>
        </w:tabs>
        <w:ind w:left="0" w:leftChars="0" w:firstLine="0" w:firstLineChars="0"/>
        <w:rPr>
          <w:rFonts w:hint="eastAsia" w:ascii="宋体" w:hAnsi="宋体" w:eastAsia="宋体" w:cs="宋体"/>
          <w:sz w:val="28"/>
          <w:szCs w:val="24"/>
        </w:rPr>
      </w:pPr>
      <w:r>
        <w:rPr>
          <w:rFonts w:hint="eastAsia" w:ascii="宋体" w:hAnsi="宋体" w:eastAsia="宋体" w:cs="宋体"/>
          <w:sz w:val="28"/>
          <w:szCs w:val="24"/>
          <w:lang w:eastAsia="zh-CN"/>
        </w:rPr>
        <w:fldChar w:fldCharType="begin"/>
      </w:r>
      <w:r>
        <w:rPr>
          <w:rFonts w:hint="eastAsia" w:ascii="宋体" w:hAnsi="宋体" w:eastAsia="宋体" w:cs="宋体"/>
          <w:sz w:val="28"/>
          <w:szCs w:val="24"/>
          <w:lang w:eastAsia="zh-CN"/>
        </w:rPr>
        <w:instrText xml:space="preserve"> HYPERLINK \l _Toc13973 </w:instrText>
      </w:r>
      <w:r>
        <w:rPr>
          <w:rFonts w:hint="eastAsia" w:ascii="宋体" w:hAnsi="宋体" w:eastAsia="宋体" w:cs="宋体"/>
          <w:sz w:val="28"/>
          <w:szCs w:val="24"/>
          <w:lang w:eastAsia="zh-CN"/>
        </w:rPr>
        <w:fldChar w:fldCharType="separate"/>
      </w:r>
      <w:r>
        <w:rPr>
          <w:rFonts w:hint="eastAsia" w:ascii="宋体" w:hAnsi="宋体" w:eastAsia="宋体" w:cs="宋体"/>
          <w:bCs w:val="0"/>
          <w:sz w:val="28"/>
          <w:szCs w:val="24"/>
        </w:rPr>
        <w:t>第1章 研究背景与策略目标</w:t>
      </w:r>
      <w:r>
        <w:rPr>
          <w:rFonts w:hint="eastAsia" w:ascii="宋体" w:hAnsi="宋体" w:eastAsia="宋体" w:cs="宋体"/>
          <w:sz w:val="28"/>
          <w:szCs w:val="24"/>
        </w:rPr>
        <w:tab/>
      </w:r>
      <w:r>
        <w:rPr>
          <w:rFonts w:hint="eastAsia" w:ascii="宋体" w:hAnsi="宋体" w:eastAsia="宋体" w:cs="宋体"/>
          <w:sz w:val="28"/>
          <w:szCs w:val="24"/>
        </w:rPr>
        <w:fldChar w:fldCharType="begin"/>
      </w:r>
      <w:r>
        <w:rPr>
          <w:rFonts w:hint="eastAsia" w:ascii="宋体" w:hAnsi="宋体" w:eastAsia="宋体" w:cs="宋体"/>
          <w:sz w:val="28"/>
          <w:szCs w:val="24"/>
        </w:rPr>
        <w:instrText xml:space="preserve"> PAGEREF _Toc13973 \h </w:instrText>
      </w:r>
      <w:r>
        <w:rPr>
          <w:rFonts w:hint="eastAsia" w:ascii="宋体" w:hAnsi="宋体" w:eastAsia="宋体" w:cs="宋体"/>
          <w:sz w:val="28"/>
          <w:szCs w:val="24"/>
        </w:rPr>
        <w:fldChar w:fldCharType="separate"/>
      </w:r>
      <w:r>
        <w:rPr>
          <w:rFonts w:hint="eastAsia" w:ascii="宋体" w:hAnsi="宋体" w:eastAsia="宋体" w:cs="宋体"/>
          <w:sz w:val="28"/>
          <w:szCs w:val="24"/>
        </w:rPr>
        <w:t>3</w:t>
      </w:r>
      <w:r>
        <w:rPr>
          <w:rFonts w:hint="eastAsia" w:ascii="宋体" w:hAnsi="宋体" w:eastAsia="宋体" w:cs="宋体"/>
          <w:sz w:val="28"/>
          <w:szCs w:val="24"/>
        </w:rPr>
        <w:fldChar w:fldCharType="end"/>
      </w:r>
      <w:r>
        <w:rPr>
          <w:rFonts w:hint="eastAsia" w:ascii="宋体" w:hAnsi="宋体" w:eastAsia="宋体" w:cs="宋体"/>
          <w:sz w:val="28"/>
          <w:szCs w:val="24"/>
          <w:lang w:eastAsia="zh-CN"/>
        </w:rPr>
        <w:fldChar w:fldCharType="end"/>
      </w:r>
    </w:p>
    <w:p w14:paraId="30EACD76">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_Toc7085 </w:instrText>
      </w:r>
      <w:r>
        <w:rPr>
          <w:rFonts w:hint="eastAsia" w:ascii="宋体" w:hAnsi="宋体" w:eastAsia="宋体" w:cs="宋体"/>
          <w:lang w:eastAsia="zh-CN"/>
        </w:rPr>
        <w:fldChar w:fldCharType="separate"/>
      </w:r>
      <w:r>
        <w:rPr>
          <w:rFonts w:hint="eastAsia" w:ascii="宋体" w:hAnsi="宋体" w:eastAsia="宋体" w:cs="宋体"/>
          <w:bCs w:val="0"/>
        </w:rPr>
        <w:t>1.1 研究背景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_Toc7085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lang w:eastAsia="zh-CN"/>
        </w:rPr>
        <w:fldChar w:fldCharType="end"/>
      </w:r>
    </w:p>
    <w:p w14:paraId="2FFD40BD">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_Toc31100 </w:instrText>
      </w:r>
      <w:r>
        <w:rPr>
          <w:rFonts w:hint="eastAsia" w:ascii="宋体" w:hAnsi="宋体" w:eastAsia="宋体" w:cs="宋体"/>
          <w:lang w:eastAsia="zh-CN"/>
        </w:rPr>
        <w:fldChar w:fldCharType="separate"/>
      </w:r>
      <w:r>
        <w:rPr>
          <w:rFonts w:hint="eastAsia" w:ascii="宋体" w:hAnsi="宋体" w:eastAsia="宋体" w:cs="宋体"/>
          <w:bCs w:val="0"/>
        </w:rPr>
        <w:t>1.2 策略目标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_Toc31100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lang w:eastAsia="zh-CN"/>
        </w:rPr>
        <w:fldChar w:fldCharType="end"/>
      </w:r>
    </w:p>
    <w:p w14:paraId="0A6DC351">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_Toc29695 </w:instrText>
      </w:r>
      <w:r>
        <w:rPr>
          <w:rFonts w:hint="eastAsia" w:ascii="宋体" w:hAnsi="宋体" w:eastAsia="宋体" w:cs="宋体"/>
          <w:lang w:eastAsia="zh-CN"/>
        </w:rPr>
        <w:fldChar w:fldCharType="separate"/>
      </w:r>
      <w:r>
        <w:rPr>
          <w:rFonts w:hint="eastAsia" w:ascii="宋体" w:hAnsi="宋体" w:eastAsia="宋体" w:cs="宋体"/>
          <w:bCs w:val="0"/>
        </w:rPr>
        <w:t>1.3 报告结构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_Toc29695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lang w:eastAsia="zh-CN"/>
        </w:rPr>
        <w:fldChar w:fldCharType="end"/>
      </w:r>
    </w:p>
    <w:p w14:paraId="70B8AF30">
      <w:pPr>
        <w:pStyle w:val="26"/>
        <w:tabs>
          <w:tab w:val="right" w:leader="dot" w:pos="9072"/>
        </w:tabs>
        <w:ind w:left="0" w:leftChars="0" w:firstLine="0" w:firstLineChars="0"/>
        <w:rPr>
          <w:rFonts w:hint="eastAsia" w:ascii="宋体" w:hAnsi="宋体" w:eastAsia="宋体" w:cs="宋体"/>
        </w:rPr>
      </w:pPr>
      <w:r>
        <w:rPr>
          <w:rFonts w:hint="eastAsia" w:ascii="宋体" w:hAnsi="宋体" w:eastAsia="宋体" w:cs="宋体"/>
          <w:sz w:val="28"/>
          <w:szCs w:val="24"/>
          <w:lang w:eastAsia="zh-CN"/>
        </w:rPr>
        <w:fldChar w:fldCharType="begin"/>
      </w:r>
      <w:r>
        <w:rPr>
          <w:rFonts w:hint="eastAsia" w:ascii="宋体" w:hAnsi="宋体" w:eastAsia="宋体" w:cs="宋体"/>
          <w:sz w:val="28"/>
          <w:szCs w:val="24"/>
          <w:lang w:eastAsia="zh-CN"/>
        </w:rPr>
        <w:instrText xml:space="preserve"> HYPERLINK \l _Toc22291 </w:instrText>
      </w:r>
      <w:r>
        <w:rPr>
          <w:rFonts w:hint="eastAsia" w:ascii="宋体" w:hAnsi="宋体" w:eastAsia="宋体" w:cs="宋体"/>
          <w:sz w:val="28"/>
          <w:szCs w:val="24"/>
          <w:lang w:eastAsia="zh-CN"/>
        </w:rPr>
        <w:fldChar w:fldCharType="separate"/>
      </w:r>
      <w:r>
        <w:rPr>
          <w:rFonts w:hint="eastAsia" w:ascii="宋体" w:hAnsi="宋体" w:eastAsia="宋体" w:cs="宋体"/>
          <w:bCs w:val="0"/>
          <w:sz w:val="28"/>
          <w:szCs w:val="24"/>
        </w:rPr>
        <w:t>第2章 最终策略设计与交易逻辑</w:t>
      </w:r>
      <w:r>
        <w:rPr>
          <w:rFonts w:hint="eastAsia" w:ascii="宋体" w:hAnsi="宋体" w:eastAsia="宋体" w:cs="宋体"/>
          <w:sz w:val="28"/>
          <w:szCs w:val="24"/>
        </w:rPr>
        <w:tab/>
      </w:r>
      <w:r>
        <w:rPr>
          <w:rFonts w:hint="eastAsia" w:ascii="宋体" w:hAnsi="宋体" w:eastAsia="宋体" w:cs="宋体"/>
          <w:sz w:val="28"/>
          <w:szCs w:val="24"/>
        </w:rPr>
        <w:fldChar w:fldCharType="begin"/>
      </w:r>
      <w:r>
        <w:rPr>
          <w:rFonts w:hint="eastAsia" w:ascii="宋体" w:hAnsi="宋体" w:eastAsia="宋体" w:cs="宋体"/>
          <w:sz w:val="28"/>
          <w:szCs w:val="24"/>
        </w:rPr>
        <w:instrText xml:space="preserve"> PAGEREF _Toc22291 \h </w:instrText>
      </w:r>
      <w:r>
        <w:rPr>
          <w:rFonts w:hint="eastAsia" w:ascii="宋体" w:hAnsi="宋体" w:eastAsia="宋体" w:cs="宋体"/>
          <w:sz w:val="28"/>
          <w:szCs w:val="24"/>
        </w:rPr>
        <w:fldChar w:fldCharType="separate"/>
      </w:r>
      <w:r>
        <w:rPr>
          <w:rFonts w:hint="eastAsia" w:ascii="宋体" w:hAnsi="宋体" w:eastAsia="宋体" w:cs="宋体"/>
          <w:sz w:val="28"/>
          <w:szCs w:val="24"/>
        </w:rPr>
        <w:t>4</w:t>
      </w:r>
      <w:r>
        <w:rPr>
          <w:rFonts w:hint="eastAsia" w:ascii="宋体" w:hAnsi="宋体" w:eastAsia="宋体" w:cs="宋体"/>
          <w:sz w:val="28"/>
          <w:szCs w:val="24"/>
        </w:rPr>
        <w:fldChar w:fldCharType="end"/>
      </w:r>
      <w:r>
        <w:rPr>
          <w:rFonts w:hint="eastAsia" w:ascii="宋体" w:hAnsi="宋体" w:eastAsia="宋体" w:cs="宋体"/>
          <w:sz w:val="28"/>
          <w:szCs w:val="24"/>
          <w:lang w:eastAsia="zh-CN"/>
        </w:rPr>
        <w:fldChar w:fldCharType="end"/>
      </w:r>
    </w:p>
    <w:p w14:paraId="3CAC6DB4">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_Toc19120 </w:instrText>
      </w:r>
      <w:r>
        <w:rPr>
          <w:rFonts w:hint="eastAsia" w:ascii="宋体" w:hAnsi="宋体" w:eastAsia="宋体" w:cs="宋体"/>
          <w:lang w:eastAsia="zh-CN"/>
        </w:rPr>
        <w:fldChar w:fldCharType="separate"/>
      </w:r>
      <w:r>
        <w:rPr>
          <w:rFonts w:hint="eastAsia" w:ascii="宋体" w:hAnsi="宋体" w:eastAsia="宋体" w:cs="宋体"/>
          <w:bCs w:val="0"/>
        </w:rPr>
        <w:t>2.1 ETF池与数据来源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_Toc19120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lang w:eastAsia="zh-CN"/>
        </w:rPr>
        <w:fldChar w:fldCharType="end"/>
      </w:r>
    </w:p>
    <w:p w14:paraId="44AF6FB2">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_Toc6977 </w:instrText>
      </w:r>
      <w:r>
        <w:rPr>
          <w:rFonts w:hint="eastAsia" w:ascii="宋体" w:hAnsi="宋体" w:eastAsia="宋体" w:cs="宋体"/>
          <w:lang w:eastAsia="zh-CN"/>
        </w:rPr>
        <w:fldChar w:fldCharType="separate"/>
      </w:r>
      <w:r>
        <w:rPr>
          <w:rFonts w:hint="eastAsia" w:ascii="宋体" w:hAnsi="宋体" w:eastAsia="宋体" w:cs="宋体"/>
          <w:bCs w:val="0"/>
        </w:rPr>
        <w:t>2.2 预测目标与相对收益标签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_Toc6977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lang w:eastAsia="zh-CN"/>
        </w:rPr>
        <w:fldChar w:fldCharType="end"/>
      </w:r>
    </w:p>
    <w:p w14:paraId="4A6E4A3C">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_Toc24964 </w:instrText>
      </w:r>
      <w:r>
        <w:rPr>
          <w:rFonts w:hint="eastAsia" w:ascii="宋体" w:hAnsi="宋体" w:eastAsia="宋体" w:cs="宋体"/>
          <w:lang w:eastAsia="zh-CN"/>
        </w:rPr>
        <w:fldChar w:fldCharType="separate"/>
      </w:r>
      <w:r>
        <w:rPr>
          <w:rFonts w:hint="eastAsia" w:ascii="宋体" w:hAnsi="宋体" w:eastAsia="宋体" w:cs="宋体"/>
          <w:bCs w:val="0"/>
        </w:rPr>
        <w:t>2.3 特征体系与XGBoost模型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_Toc24964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lang w:eastAsia="zh-CN"/>
        </w:rPr>
        <w:fldChar w:fldCharType="end"/>
      </w:r>
    </w:p>
    <w:p w14:paraId="3FC75994">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_Toc30794 </w:instrText>
      </w:r>
      <w:r>
        <w:rPr>
          <w:rFonts w:hint="eastAsia" w:ascii="宋体" w:hAnsi="宋体" w:eastAsia="宋体" w:cs="宋体"/>
          <w:lang w:eastAsia="zh-CN"/>
        </w:rPr>
        <w:fldChar w:fldCharType="separate"/>
      </w:r>
      <w:r>
        <w:rPr>
          <w:rFonts w:hint="eastAsia" w:ascii="宋体" w:hAnsi="宋体" w:eastAsia="宋体" w:cs="宋体"/>
          <w:bCs w:val="0"/>
        </w:rPr>
        <w:t>2.4 周频训练与横截面排序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_Toc30794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lang w:eastAsia="zh-CN"/>
        </w:rPr>
        <w:fldChar w:fldCharType="end"/>
      </w:r>
    </w:p>
    <w:p w14:paraId="4B0C377E">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_Toc761 </w:instrText>
      </w:r>
      <w:r>
        <w:rPr>
          <w:rFonts w:hint="eastAsia" w:ascii="宋体" w:hAnsi="宋体" w:eastAsia="宋体" w:cs="宋体"/>
          <w:lang w:eastAsia="zh-CN"/>
        </w:rPr>
        <w:fldChar w:fldCharType="separate"/>
      </w:r>
      <w:r>
        <w:rPr>
          <w:rFonts w:hint="eastAsia" w:ascii="宋体" w:hAnsi="宋体" w:eastAsia="宋体" w:cs="宋体"/>
          <w:bCs w:val="0"/>
        </w:rPr>
        <w:t>2.5 持仓缓冲与权重分配</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_Toc761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lang w:eastAsia="zh-CN"/>
        </w:rPr>
        <w:fldChar w:fldCharType="end"/>
      </w:r>
    </w:p>
    <w:p w14:paraId="1B491097">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_Toc4821 </w:instrText>
      </w:r>
      <w:r>
        <w:rPr>
          <w:rFonts w:hint="eastAsia" w:ascii="宋体" w:hAnsi="宋体" w:eastAsia="宋体" w:cs="宋体"/>
          <w:lang w:eastAsia="zh-CN"/>
        </w:rPr>
        <w:fldChar w:fldCharType="separate"/>
      </w:r>
      <w:r>
        <w:rPr>
          <w:rFonts w:hint="eastAsia" w:ascii="宋体" w:hAnsi="宋体" w:eastAsia="宋体" w:cs="宋体"/>
          <w:bCs w:val="0"/>
        </w:rPr>
        <w:t>2.6 调仓执行与交易成本</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_Toc4821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lang w:eastAsia="zh-CN"/>
        </w:rPr>
        <w:fldChar w:fldCharType="end"/>
      </w:r>
    </w:p>
    <w:p w14:paraId="62F771C8">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_Toc15544 </w:instrText>
      </w:r>
      <w:r>
        <w:rPr>
          <w:rFonts w:hint="eastAsia" w:ascii="宋体" w:hAnsi="宋体" w:eastAsia="宋体" w:cs="宋体"/>
          <w:lang w:eastAsia="zh-CN"/>
        </w:rPr>
        <w:fldChar w:fldCharType="separate"/>
      </w:r>
      <w:r>
        <w:rPr>
          <w:rFonts w:hint="eastAsia" w:ascii="宋体" w:hAnsi="宋体" w:eastAsia="宋体" w:cs="宋体"/>
          <w:bCs w:val="0"/>
        </w:rPr>
        <w:t>2.7 最终策略规则汇总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_Toc15544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lang w:eastAsia="zh-CN"/>
        </w:rPr>
        <w:fldChar w:fldCharType="end"/>
      </w:r>
    </w:p>
    <w:p w14:paraId="30C43C79">
      <w:pPr>
        <w:pStyle w:val="26"/>
        <w:tabs>
          <w:tab w:val="right" w:leader="dot" w:pos="9072"/>
        </w:tabs>
        <w:ind w:left="0" w:leftChars="0" w:firstLine="0" w:firstLineChars="0"/>
        <w:rPr>
          <w:rFonts w:hint="eastAsia" w:ascii="宋体" w:hAnsi="宋体" w:eastAsia="宋体" w:cs="宋体"/>
        </w:rPr>
      </w:pPr>
      <w:r>
        <w:rPr>
          <w:rFonts w:hint="eastAsia" w:ascii="宋体" w:hAnsi="宋体" w:eastAsia="宋体" w:cs="宋体"/>
          <w:sz w:val="28"/>
          <w:szCs w:val="24"/>
          <w:lang w:eastAsia="zh-CN"/>
        </w:rPr>
        <w:fldChar w:fldCharType="begin"/>
      </w:r>
      <w:r>
        <w:rPr>
          <w:rFonts w:hint="eastAsia" w:ascii="宋体" w:hAnsi="宋体" w:eastAsia="宋体" w:cs="宋体"/>
          <w:sz w:val="28"/>
          <w:szCs w:val="24"/>
          <w:lang w:eastAsia="zh-CN"/>
        </w:rPr>
        <w:instrText xml:space="preserve"> HYPERLINK \l _Toc14108 </w:instrText>
      </w:r>
      <w:r>
        <w:rPr>
          <w:rFonts w:hint="eastAsia" w:ascii="宋体" w:hAnsi="宋体" w:eastAsia="宋体" w:cs="宋体"/>
          <w:sz w:val="28"/>
          <w:szCs w:val="24"/>
          <w:lang w:eastAsia="zh-CN"/>
        </w:rPr>
        <w:fldChar w:fldCharType="separate"/>
      </w:r>
      <w:r>
        <w:rPr>
          <w:rFonts w:hint="eastAsia" w:ascii="宋体" w:hAnsi="宋体" w:eastAsia="宋体" w:cs="宋体"/>
          <w:bCs w:val="0"/>
          <w:sz w:val="28"/>
          <w:szCs w:val="24"/>
        </w:rPr>
        <w:t>第3章 模型选择与稳健性检验</w:t>
      </w:r>
      <w:r>
        <w:rPr>
          <w:rFonts w:hint="eastAsia" w:ascii="宋体" w:hAnsi="宋体" w:eastAsia="宋体" w:cs="宋体"/>
          <w:sz w:val="28"/>
          <w:szCs w:val="24"/>
        </w:rPr>
        <w:tab/>
      </w:r>
      <w:r>
        <w:rPr>
          <w:rFonts w:hint="eastAsia" w:ascii="宋体" w:hAnsi="宋体" w:eastAsia="宋体" w:cs="宋体"/>
          <w:sz w:val="28"/>
          <w:szCs w:val="24"/>
        </w:rPr>
        <w:fldChar w:fldCharType="begin"/>
      </w:r>
      <w:r>
        <w:rPr>
          <w:rFonts w:hint="eastAsia" w:ascii="宋体" w:hAnsi="宋体" w:eastAsia="宋体" w:cs="宋体"/>
          <w:sz w:val="28"/>
          <w:szCs w:val="24"/>
        </w:rPr>
        <w:instrText xml:space="preserve"> PAGEREF _Toc14108 \h </w:instrText>
      </w:r>
      <w:r>
        <w:rPr>
          <w:rFonts w:hint="eastAsia" w:ascii="宋体" w:hAnsi="宋体" w:eastAsia="宋体" w:cs="宋体"/>
          <w:sz w:val="28"/>
          <w:szCs w:val="24"/>
        </w:rPr>
        <w:fldChar w:fldCharType="separate"/>
      </w:r>
      <w:r>
        <w:rPr>
          <w:rFonts w:hint="eastAsia" w:ascii="宋体" w:hAnsi="宋体" w:eastAsia="宋体" w:cs="宋体"/>
          <w:sz w:val="28"/>
          <w:szCs w:val="24"/>
        </w:rPr>
        <w:t>7</w:t>
      </w:r>
      <w:r>
        <w:rPr>
          <w:rFonts w:hint="eastAsia" w:ascii="宋体" w:hAnsi="宋体" w:eastAsia="宋体" w:cs="宋体"/>
          <w:sz w:val="28"/>
          <w:szCs w:val="24"/>
        </w:rPr>
        <w:fldChar w:fldCharType="end"/>
      </w:r>
      <w:r>
        <w:rPr>
          <w:rFonts w:hint="eastAsia" w:ascii="宋体" w:hAnsi="宋体" w:eastAsia="宋体" w:cs="宋体"/>
          <w:sz w:val="28"/>
          <w:szCs w:val="24"/>
          <w:lang w:eastAsia="zh-CN"/>
        </w:rPr>
        <w:fldChar w:fldCharType="end"/>
      </w:r>
    </w:p>
    <w:p w14:paraId="116E948F">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_Toc4729 </w:instrText>
      </w:r>
      <w:r>
        <w:rPr>
          <w:rFonts w:hint="eastAsia" w:ascii="宋体" w:hAnsi="宋体" w:eastAsia="宋体" w:cs="宋体"/>
          <w:lang w:eastAsia="zh-CN"/>
        </w:rPr>
        <w:fldChar w:fldCharType="separate"/>
      </w:r>
      <w:r>
        <w:rPr>
          <w:rFonts w:hint="eastAsia" w:ascii="宋体" w:hAnsi="宋体" w:eastAsia="宋体" w:cs="宋体"/>
          <w:bCs w:val="0"/>
        </w:rPr>
        <w:t>3.1 预测周期与标签形式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_Toc4729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lang w:eastAsia="zh-CN"/>
        </w:rPr>
        <w:fldChar w:fldCharType="end"/>
      </w:r>
    </w:p>
    <w:p w14:paraId="36E8FE2B">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_Toc18615 </w:instrText>
      </w:r>
      <w:r>
        <w:rPr>
          <w:rFonts w:hint="eastAsia" w:ascii="宋体" w:hAnsi="宋体" w:eastAsia="宋体" w:cs="宋体"/>
          <w:lang w:eastAsia="zh-CN"/>
        </w:rPr>
        <w:fldChar w:fldCharType="separate"/>
      </w:r>
      <w:r>
        <w:rPr>
          <w:rFonts w:hint="eastAsia" w:ascii="宋体" w:hAnsi="宋体" w:eastAsia="宋体" w:cs="宋体"/>
          <w:bCs w:val="0"/>
        </w:rPr>
        <w:t>3.2 信息泄露控制与CPCV</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_Toc18615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lang w:eastAsia="zh-CN"/>
        </w:rPr>
        <w:fldChar w:fldCharType="end"/>
      </w:r>
    </w:p>
    <w:p w14:paraId="24851592">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_Toc5423 </w:instrText>
      </w:r>
      <w:r>
        <w:rPr>
          <w:rFonts w:hint="eastAsia" w:ascii="宋体" w:hAnsi="宋体" w:eastAsia="宋体" w:cs="宋体"/>
          <w:lang w:eastAsia="zh-CN"/>
        </w:rPr>
        <w:fldChar w:fldCharType="separate"/>
      </w:r>
      <w:r>
        <w:rPr>
          <w:rFonts w:hint="eastAsia" w:ascii="宋体" w:hAnsi="宋体" w:eastAsia="宋体" w:cs="宋体"/>
          <w:bCs w:val="0"/>
        </w:rPr>
        <w:t>3.3 GP特征检验与嵌套CPCV</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_Toc5423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lang w:eastAsia="zh-CN"/>
        </w:rPr>
        <w:fldChar w:fldCharType="end"/>
      </w:r>
    </w:p>
    <w:p w14:paraId="79D0A2A0">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_Toc18847 </w:instrText>
      </w:r>
      <w:r>
        <w:rPr>
          <w:rFonts w:hint="eastAsia" w:ascii="宋体" w:hAnsi="宋体" w:eastAsia="宋体" w:cs="宋体"/>
          <w:lang w:eastAsia="zh-CN"/>
        </w:rPr>
        <w:fldChar w:fldCharType="separate"/>
      </w:r>
      <w:r>
        <w:rPr>
          <w:rFonts w:hint="eastAsia" w:ascii="宋体" w:hAnsi="宋体" w:eastAsia="宋体" w:cs="宋体"/>
          <w:bCs w:val="0"/>
        </w:rPr>
        <w:t>3.4 持仓缓冲与权重选择</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_Toc18847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lang w:eastAsia="zh-CN"/>
        </w:rPr>
        <w:fldChar w:fldCharType="end"/>
      </w:r>
    </w:p>
    <w:p w14:paraId="05E071EF">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_Toc26745 </w:instrText>
      </w:r>
      <w:r>
        <w:rPr>
          <w:rFonts w:hint="eastAsia" w:ascii="宋体" w:hAnsi="宋体" w:eastAsia="宋体" w:cs="宋体"/>
          <w:lang w:eastAsia="zh-CN"/>
        </w:rPr>
        <w:fldChar w:fldCharType="separate"/>
      </w:r>
      <w:r>
        <w:rPr>
          <w:rFonts w:hint="eastAsia" w:ascii="宋体" w:hAnsi="宋体" w:eastAsia="宋体" w:cs="宋体"/>
          <w:bCs w:val="0"/>
        </w:rPr>
        <w:t>3.5 基准与评价指标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_Toc26745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lang w:eastAsia="zh-CN"/>
        </w:rPr>
        <w:fldChar w:fldCharType="end"/>
      </w:r>
    </w:p>
    <w:p w14:paraId="61A15088">
      <w:pPr>
        <w:pStyle w:val="26"/>
        <w:tabs>
          <w:tab w:val="right" w:leader="dot" w:pos="9072"/>
        </w:tabs>
        <w:ind w:left="0" w:leftChars="0" w:firstLine="0" w:firstLineChars="0"/>
        <w:rPr>
          <w:rFonts w:hint="eastAsia" w:ascii="宋体" w:hAnsi="宋体" w:eastAsia="宋体" w:cs="宋体"/>
        </w:rPr>
      </w:pPr>
      <w:r>
        <w:rPr>
          <w:rFonts w:hint="eastAsia" w:ascii="宋体" w:hAnsi="宋体" w:eastAsia="宋体" w:cs="宋体"/>
          <w:sz w:val="28"/>
          <w:szCs w:val="24"/>
          <w:lang w:eastAsia="zh-CN"/>
        </w:rPr>
        <w:fldChar w:fldCharType="begin"/>
      </w:r>
      <w:r>
        <w:rPr>
          <w:rFonts w:hint="eastAsia" w:ascii="宋体" w:hAnsi="宋体" w:eastAsia="宋体" w:cs="宋体"/>
          <w:sz w:val="28"/>
          <w:szCs w:val="24"/>
          <w:lang w:eastAsia="zh-CN"/>
        </w:rPr>
        <w:instrText xml:space="preserve"> HYPERLINK \l _Toc31320 </w:instrText>
      </w:r>
      <w:r>
        <w:rPr>
          <w:rFonts w:hint="eastAsia" w:ascii="宋体" w:hAnsi="宋体" w:eastAsia="宋体" w:cs="宋体"/>
          <w:sz w:val="28"/>
          <w:szCs w:val="24"/>
          <w:lang w:eastAsia="zh-CN"/>
        </w:rPr>
        <w:fldChar w:fldCharType="separate"/>
      </w:r>
      <w:r>
        <w:rPr>
          <w:rFonts w:hint="eastAsia" w:ascii="宋体" w:hAnsi="宋体" w:eastAsia="宋体" w:cs="宋体"/>
          <w:bCs w:val="0"/>
          <w:sz w:val="28"/>
          <w:szCs w:val="24"/>
        </w:rPr>
        <w:t>第4章 策略表现与结果分析</w:t>
      </w:r>
      <w:r>
        <w:rPr>
          <w:rFonts w:hint="eastAsia" w:ascii="宋体" w:hAnsi="宋体" w:eastAsia="宋体" w:cs="宋体"/>
          <w:sz w:val="28"/>
          <w:szCs w:val="24"/>
        </w:rPr>
        <w:tab/>
      </w:r>
      <w:r>
        <w:rPr>
          <w:rFonts w:hint="eastAsia" w:ascii="宋体" w:hAnsi="宋体" w:eastAsia="宋体" w:cs="宋体"/>
          <w:sz w:val="28"/>
          <w:szCs w:val="24"/>
        </w:rPr>
        <w:fldChar w:fldCharType="begin"/>
      </w:r>
      <w:r>
        <w:rPr>
          <w:rFonts w:hint="eastAsia" w:ascii="宋体" w:hAnsi="宋体" w:eastAsia="宋体" w:cs="宋体"/>
          <w:sz w:val="28"/>
          <w:szCs w:val="24"/>
        </w:rPr>
        <w:instrText xml:space="preserve"> PAGEREF _Toc31320 \h </w:instrText>
      </w:r>
      <w:r>
        <w:rPr>
          <w:rFonts w:hint="eastAsia" w:ascii="宋体" w:hAnsi="宋体" w:eastAsia="宋体" w:cs="宋体"/>
          <w:sz w:val="28"/>
          <w:szCs w:val="24"/>
        </w:rPr>
        <w:fldChar w:fldCharType="separate"/>
      </w:r>
      <w:r>
        <w:rPr>
          <w:rFonts w:hint="eastAsia" w:ascii="宋体" w:hAnsi="宋体" w:eastAsia="宋体" w:cs="宋体"/>
          <w:sz w:val="28"/>
          <w:szCs w:val="24"/>
        </w:rPr>
        <w:t>10</w:t>
      </w:r>
      <w:r>
        <w:rPr>
          <w:rFonts w:hint="eastAsia" w:ascii="宋体" w:hAnsi="宋体" w:eastAsia="宋体" w:cs="宋体"/>
          <w:sz w:val="28"/>
          <w:szCs w:val="24"/>
        </w:rPr>
        <w:fldChar w:fldCharType="end"/>
      </w:r>
      <w:r>
        <w:rPr>
          <w:rFonts w:hint="eastAsia" w:ascii="宋体" w:hAnsi="宋体" w:eastAsia="宋体" w:cs="宋体"/>
          <w:sz w:val="28"/>
          <w:szCs w:val="24"/>
          <w:lang w:eastAsia="zh-CN"/>
        </w:rPr>
        <w:fldChar w:fldCharType="end"/>
      </w:r>
    </w:p>
    <w:p w14:paraId="353B83DF">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_Toc20647 </w:instrText>
      </w:r>
      <w:r>
        <w:rPr>
          <w:rFonts w:hint="eastAsia" w:ascii="宋体" w:hAnsi="宋体" w:eastAsia="宋体" w:cs="宋体"/>
          <w:lang w:eastAsia="zh-CN"/>
        </w:rPr>
        <w:fldChar w:fldCharType="separate"/>
      </w:r>
      <w:r>
        <w:rPr>
          <w:rFonts w:hint="eastAsia" w:ascii="宋体" w:hAnsi="宋体" w:eastAsia="宋体" w:cs="宋体"/>
          <w:bCs w:val="0"/>
        </w:rPr>
        <w:t>4.1 开发期表现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_Toc20647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lang w:eastAsia="zh-CN"/>
        </w:rPr>
        <w:fldChar w:fldCharType="end"/>
      </w:r>
    </w:p>
    <w:p w14:paraId="57E308B8">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_Toc25702 </w:instrText>
      </w:r>
      <w:r>
        <w:rPr>
          <w:rFonts w:hint="eastAsia" w:ascii="宋体" w:hAnsi="宋体" w:eastAsia="宋体" w:cs="宋体"/>
          <w:lang w:eastAsia="zh-CN"/>
        </w:rPr>
        <w:fldChar w:fldCharType="separate"/>
      </w:r>
      <w:r>
        <w:rPr>
          <w:rFonts w:hint="eastAsia" w:ascii="宋体" w:hAnsi="宋体" w:eastAsia="宋体" w:cs="宋体"/>
          <w:bCs w:val="0"/>
        </w:rPr>
        <w:t>4.2 最终独立测试集表现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_Toc25702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lang w:eastAsia="zh-CN"/>
        </w:rPr>
        <w:fldChar w:fldCharType="end"/>
      </w:r>
    </w:p>
    <w:p w14:paraId="17F9DC7E">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_Toc30163 </w:instrText>
      </w:r>
      <w:r>
        <w:rPr>
          <w:rFonts w:hint="eastAsia" w:ascii="宋体" w:hAnsi="宋体" w:eastAsia="宋体" w:cs="宋体"/>
          <w:lang w:eastAsia="zh-CN"/>
        </w:rPr>
        <w:fldChar w:fldCharType="separate"/>
      </w:r>
      <w:r>
        <w:rPr>
          <w:rFonts w:hint="eastAsia" w:ascii="宋体" w:hAnsi="宋体" w:eastAsia="宋体" w:cs="宋体"/>
          <w:bCs w:val="0"/>
        </w:rPr>
        <w:t>4.3 预测能力诊断</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_Toc30163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lang w:eastAsia="zh-CN"/>
        </w:rPr>
        <w:fldChar w:fldCharType="end"/>
      </w:r>
    </w:p>
    <w:p w14:paraId="3CFE9149">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_Toc27005 </w:instrText>
      </w:r>
      <w:r>
        <w:rPr>
          <w:rFonts w:hint="eastAsia" w:ascii="宋体" w:hAnsi="宋体" w:eastAsia="宋体" w:cs="宋体"/>
          <w:lang w:eastAsia="zh-CN"/>
        </w:rPr>
        <w:fldChar w:fldCharType="separate"/>
      </w:r>
      <w:r>
        <w:rPr>
          <w:rFonts w:hint="eastAsia" w:ascii="宋体" w:hAnsi="宋体" w:eastAsia="宋体" w:cs="宋体"/>
          <w:bCs w:val="0"/>
        </w:rPr>
        <w:t>4.4 结果解释</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_Toc27005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lang w:eastAsia="zh-CN"/>
        </w:rPr>
        <w:fldChar w:fldCharType="end"/>
      </w:r>
    </w:p>
    <w:p w14:paraId="21E26D57">
      <w:pPr>
        <w:pStyle w:val="26"/>
        <w:tabs>
          <w:tab w:val="right" w:leader="dot" w:pos="9072"/>
        </w:tabs>
        <w:ind w:left="0" w:leftChars="0" w:firstLine="0" w:firstLineChars="0"/>
        <w:rPr>
          <w:rFonts w:hint="eastAsia" w:ascii="宋体" w:hAnsi="宋体" w:eastAsia="宋体" w:cs="宋体"/>
        </w:rPr>
      </w:pPr>
      <w:r>
        <w:rPr>
          <w:rFonts w:hint="eastAsia" w:ascii="宋体" w:hAnsi="宋体" w:eastAsia="宋体" w:cs="宋体"/>
          <w:sz w:val="28"/>
          <w:szCs w:val="24"/>
          <w:lang w:eastAsia="zh-CN"/>
        </w:rPr>
        <w:fldChar w:fldCharType="begin"/>
      </w:r>
      <w:r>
        <w:rPr>
          <w:rFonts w:hint="eastAsia" w:ascii="宋体" w:hAnsi="宋体" w:eastAsia="宋体" w:cs="宋体"/>
          <w:sz w:val="28"/>
          <w:szCs w:val="24"/>
          <w:lang w:eastAsia="zh-CN"/>
        </w:rPr>
        <w:instrText xml:space="preserve"> HYPERLINK \l _Toc11489 </w:instrText>
      </w:r>
      <w:r>
        <w:rPr>
          <w:rFonts w:hint="eastAsia" w:ascii="宋体" w:hAnsi="宋体" w:eastAsia="宋体" w:cs="宋体"/>
          <w:sz w:val="28"/>
          <w:szCs w:val="24"/>
          <w:lang w:eastAsia="zh-CN"/>
        </w:rPr>
        <w:fldChar w:fldCharType="separate"/>
      </w:r>
      <w:r>
        <w:rPr>
          <w:rFonts w:hint="eastAsia" w:ascii="宋体" w:hAnsi="宋体" w:eastAsia="宋体" w:cs="宋体"/>
          <w:bCs w:val="0"/>
          <w:sz w:val="28"/>
          <w:szCs w:val="24"/>
        </w:rPr>
        <w:t>第5章 结论与局限</w:t>
      </w:r>
      <w:r>
        <w:rPr>
          <w:rFonts w:hint="eastAsia" w:ascii="宋体" w:hAnsi="宋体" w:eastAsia="宋体" w:cs="宋体"/>
          <w:sz w:val="28"/>
          <w:szCs w:val="24"/>
        </w:rPr>
        <w:tab/>
      </w:r>
      <w:r>
        <w:rPr>
          <w:rFonts w:hint="eastAsia" w:ascii="宋体" w:hAnsi="宋体" w:eastAsia="宋体" w:cs="宋体"/>
          <w:sz w:val="28"/>
          <w:szCs w:val="24"/>
        </w:rPr>
        <w:fldChar w:fldCharType="begin"/>
      </w:r>
      <w:r>
        <w:rPr>
          <w:rFonts w:hint="eastAsia" w:ascii="宋体" w:hAnsi="宋体" w:eastAsia="宋体" w:cs="宋体"/>
          <w:sz w:val="28"/>
          <w:szCs w:val="24"/>
        </w:rPr>
        <w:instrText xml:space="preserve"> PAGEREF _Toc11489 \h </w:instrText>
      </w:r>
      <w:r>
        <w:rPr>
          <w:rFonts w:hint="eastAsia" w:ascii="宋体" w:hAnsi="宋体" w:eastAsia="宋体" w:cs="宋体"/>
          <w:sz w:val="28"/>
          <w:szCs w:val="24"/>
        </w:rPr>
        <w:fldChar w:fldCharType="separate"/>
      </w:r>
      <w:r>
        <w:rPr>
          <w:rFonts w:hint="eastAsia" w:ascii="宋体" w:hAnsi="宋体" w:eastAsia="宋体" w:cs="宋体"/>
          <w:sz w:val="28"/>
          <w:szCs w:val="24"/>
        </w:rPr>
        <w:t>14</w:t>
      </w:r>
      <w:r>
        <w:rPr>
          <w:rFonts w:hint="eastAsia" w:ascii="宋体" w:hAnsi="宋体" w:eastAsia="宋体" w:cs="宋体"/>
          <w:sz w:val="28"/>
          <w:szCs w:val="24"/>
        </w:rPr>
        <w:fldChar w:fldCharType="end"/>
      </w:r>
      <w:r>
        <w:rPr>
          <w:rFonts w:hint="eastAsia" w:ascii="宋体" w:hAnsi="宋体" w:eastAsia="宋体" w:cs="宋体"/>
          <w:sz w:val="28"/>
          <w:szCs w:val="24"/>
          <w:lang w:eastAsia="zh-CN"/>
        </w:rPr>
        <w:fldChar w:fldCharType="end"/>
      </w:r>
    </w:p>
    <w:p w14:paraId="373E220B">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_Toc1283 </w:instrText>
      </w:r>
      <w:r>
        <w:rPr>
          <w:rFonts w:hint="eastAsia" w:ascii="宋体" w:hAnsi="宋体" w:eastAsia="宋体" w:cs="宋体"/>
          <w:lang w:eastAsia="zh-CN"/>
        </w:rPr>
        <w:fldChar w:fldCharType="separate"/>
      </w:r>
      <w:r>
        <w:rPr>
          <w:rFonts w:hint="eastAsia" w:ascii="宋体" w:hAnsi="宋体" w:eastAsia="宋体" w:cs="宋体"/>
          <w:bCs w:val="0"/>
        </w:rPr>
        <w:t>5.1 主要结论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_Toc1283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lang w:eastAsia="zh-CN"/>
        </w:rPr>
        <w:fldChar w:fldCharType="end"/>
      </w:r>
    </w:p>
    <w:p w14:paraId="28E2B0BA">
      <w:pPr>
        <w:pStyle w:val="29"/>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_Toc23906 </w:instrText>
      </w:r>
      <w:r>
        <w:rPr>
          <w:rFonts w:hint="eastAsia" w:ascii="宋体" w:hAnsi="宋体" w:eastAsia="宋体" w:cs="宋体"/>
          <w:lang w:eastAsia="zh-CN"/>
        </w:rPr>
        <w:fldChar w:fldCharType="separate"/>
      </w:r>
      <w:r>
        <w:rPr>
          <w:rFonts w:hint="eastAsia" w:ascii="宋体" w:hAnsi="宋体" w:eastAsia="宋体" w:cs="宋体"/>
          <w:bCs w:val="0"/>
        </w:rPr>
        <w:t>5.2 局限与后续研究方向</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_Toc23906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lang w:eastAsia="zh-CN"/>
        </w:rPr>
        <w:fldChar w:fldCharType="end"/>
      </w:r>
    </w:p>
    <w:p w14:paraId="38ABE10F">
      <w:pPr>
        <w:pStyle w:val="26"/>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_Toc6884 </w:instrText>
      </w:r>
      <w:r>
        <w:rPr>
          <w:rFonts w:hint="eastAsia" w:ascii="宋体" w:hAnsi="宋体" w:eastAsia="宋体" w:cs="宋体"/>
          <w:lang w:eastAsia="zh-CN"/>
        </w:rPr>
        <w:fldChar w:fldCharType="separate"/>
      </w:r>
      <w:r>
        <w:rPr>
          <w:rFonts w:hint="eastAsia" w:ascii="宋体" w:hAnsi="宋体" w:eastAsia="宋体" w:cs="宋体"/>
          <w:bCs w:val="0"/>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_Toc6884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lang w:eastAsia="zh-CN"/>
        </w:rPr>
        <w:fldChar w:fldCharType="end"/>
      </w:r>
    </w:p>
    <w:p w14:paraId="108A06D1">
      <w:pPr>
        <w:pStyle w:val="26"/>
        <w:tabs>
          <w:tab w:val="right" w:leader="dot" w:pos="9072"/>
        </w:tabs>
        <w:ind w:left="0" w:leftChars="0" w:firstLine="0" w:firstLineChars="0"/>
        <w:rPr>
          <w:rFonts w:hint="eastAsia" w:ascii="宋体" w:hAnsi="宋体" w:eastAsia="宋体" w:cs="宋体"/>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_Toc5039 </w:instrText>
      </w:r>
      <w:r>
        <w:rPr>
          <w:rFonts w:hint="eastAsia" w:ascii="宋体" w:hAnsi="宋体" w:eastAsia="宋体" w:cs="宋体"/>
          <w:lang w:eastAsia="zh-CN"/>
        </w:rPr>
        <w:fldChar w:fldCharType="separate"/>
      </w:r>
      <w:r>
        <w:rPr>
          <w:rFonts w:hint="eastAsia" w:ascii="宋体" w:hAnsi="宋体" w:eastAsia="宋体" w:cs="宋体"/>
          <w:bCs w:val="0"/>
        </w:rPr>
        <w:t>附录A  最终22个XGBoost特征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_Toc5039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lang w:eastAsia="zh-CN"/>
        </w:rPr>
        <w:fldChar w:fldCharType="end"/>
      </w:r>
    </w:p>
    <w:p w14:paraId="7215131A">
      <w:pPr>
        <w:pStyle w:val="26"/>
        <w:tabs>
          <w:tab w:val="right" w:leader="dot" w:pos="9072"/>
        </w:tabs>
        <w:ind w:left="0" w:leftChars="0" w:firstLine="0" w:firstLineChars="0"/>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_Toc17865 </w:instrText>
      </w:r>
      <w:r>
        <w:rPr>
          <w:rFonts w:hint="eastAsia" w:ascii="宋体" w:hAnsi="宋体" w:eastAsia="宋体" w:cs="宋体"/>
          <w:lang w:eastAsia="zh-CN"/>
        </w:rPr>
        <w:fldChar w:fldCharType="separate"/>
      </w:r>
      <w:r>
        <w:rPr>
          <w:rFonts w:hint="eastAsia" w:ascii="宋体" w:hAnsi="宋体" w:eastAsia="宋体" w:cs="宋体"/>
          <w:bCs w:val="0"/>
        </w:rPr>
        <w:t>附录B  最终冻结参数与规则</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_Toc17865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lang w:eastAsia="zh-CN"/>
        </w:rPr>
        <w:fldChar w:fldCharType="end"/>
      </w:r>
    </w:p>
    <w:p w14:paraId="3FDD75AB">
      <w:pPr>
        <w:rPr>
          <w:rFonts w:hint="eastAsia"/>
          <w:lang w:eastAsia="zh-CN"/>
        </w:rPr>
      </w:pPr>
      <w:r>
        <w:rPr>
          <w:rFonts w:hint="eastAsia"/>
          <w:lang w:eastAsia="zh-CN"/>
        </w:rPr>
        <w:fldChar w:fldCharType="end"/>
      </w:r>
    </w:p>
    <w:p w14:paraId="152EF1EF">
      <w:pPr>
        <w:rPr>
          <w:rFonts w:hint="eastAsia"/>
          <w:b w:val="0"/>
          <w:bCs w:val="0"/>
          <w:lang w:eastAsia="zh-CN"/>
        </w:rPr>
      </w:pPr>
    </w:p>
    <w:p w14:paraId="318904D4">
      <w:pPr>
        <w:spacing w:after="40" w:line="288" w:lineRule="auto"/>
        <w:rPr>
          <w:b w:val="0"/>
          <w:bCs w:val="0"/>
        </w:rPr>
      </w:pPr>
    </w:p>
    <w:p w14:paraId="34749496">
      <w:pPr>
        <w:rPr>
          <w:b w:val="0"/>
          <w:bCs w:val="0"/>
        </w:rPr>
      </w:pPr>
      <w:r>
        <w:rPr>
          <w:b w:val="0"/>
          <w:bCs w:val="0"/>
        </w:rPr>
        <w:br w:type="page"/>
      </w:r>
    </w:p>
    <w:p w14:paraId="16F907D7">
      <w:pPr>
        <w:pStyle w:val="3"/>
        <w:jc w:val="center"/>
        <w:rPr>
          <w:b w:val="0"/>
          <w:bCs w:val="0"/>
        </w:rPr>
      </w:pPr>
      <w:bookmarkStart w:id="1" w:name="_Toc13973"/>
      <w:r>
        <w:rPr>
          <w:rFonts w:ascii="Times New Roman" w:hAnsi="Times New Roman" w:eastAsia="黑体"/>
          <w:b w:val="0"/>
          <w:bCs w:val="0"/>
          <w:color w:val="000000"/>
          <w:sz w:val="28"/>
        </w:rPr>
        <w:t>第 1 章  研究背景与策略目标</w:t>
      </w:r>
      <w:bookmarkEnd w:id="1"/>
    </w:p>
    <w:p w14:paraId="23A9FA86">
      <w:pPr>
        <w:pStyle w:val="4"/>
        <w:ind w:left="0" w:leftChars="0" w:firstLine="0" w:firstLineChars="0"/>
        <w:jc w:val="left"/>
        <w:rPr>
          <w:b w:val="0"/>
          <w:bCs w:val="0"/>
        </w:rPr>
      </w:pPr>
      <w:bookmarkStart w:id="2" w:name="_Toc7085"/>
      <w:r>
        <w:rPr>
          <w:rFonts w:ascii="Times New Roman" w:hAnsi="Times New Roman" w:eastAsia="黑体"/>
          <w:b w:val="0"/>
          <w:bCs w:val="0"/>
          <w:color w:val="000000"/>
          <w:sz w:val="24"/>
        </w:rPr>
        <w:t>1.1 研究背景</w:t>
      </w:r>
      <w:bookmarkEnd w:id="2"/>
    </w:p>
    <w:p w14:paraId="7F8D200B">
      <w:pPr>
        <w:spacing w:after="0" w:line="300" w:lineRule="auto"/>
        <w:ind w:firstLine="420"/>
        <w:jc w:val="both"/>
        <w:rPr>
          <w:b w:val="0"/>
          <w:bCs w:val="0"/>
        </w:rPr>
      </w:pPr>
      <w:r>
        <w:rPr>
          <w:rFonts w:ascii="Times New Roman" w:hAnsi="Times New Roman" w:eastAsia="宋体"/>
          <w:b w:val="0"/>
          <w:bCs w:val="0"/>
          <w:color w:val="000000"/>
          <w:sz w:val="24"/>
        </w:rPr>
        <w:t>交易型开放式指数基金（Exchange-Traded Fund，ETF）能够以较低成本提供对宽基指数、风格因子和行业主题的交易暴露，具有流动性较好、持仓透明和分散个股风险等特点，因此适合作为中低频资产轮动的交易对象。传统ETF轮动通常依据过去一段时间收益率、均线位置或波动率进行排序，其经济逻辑与动量效应有关，即历史相对强势资产在一定时期内可能继续保持相对优势</w:t>
      </w:r>
      <w:r>
        <w:rPr>
          <w:rFonts w:ascii="Times New Roman" w:hAnsi="Times New Roman" w:eastAsia="宋体"/>
          <w:b w:val="0"/>
          <w:bCs w:val="0"/>
          <w:color w:val="000000"/>
          <w:sz w:val="24"/>
          <w:vertAlign w:val="superscript"/>
        </w:rPr>
        <w:t>[1]</w:t>
      </w:r>
      <w:r>
        <w:rPr>
          <w:rFonts w:ascii="Times New Roman" w:hAnsi="Times New Roman" w:eastAsia="宋体"/>
          <w:b w:val="0"/>
          <w:bCs w:val="0"/>
          <w:color w:val="000000"/>
          <w:sz w:val="24"/>
        </w:rPr>
        <w:t>。</w:t>
      </w:r>
    </w:p>
    <w:p w14:paraId="58CC9BF0">
      <w:pPr>
        <w:spacing w:after="0" w:line="300" w:lineRule="auto"/>
        <w:ind w:firstLine="420"/>
        <w:jc w:val="both"/>
        <w:rPr>
          <w:b w:val="0"/>
          <w:bCs w:val="0"/>
        </w:rPr>
      </w:pPr>
      <w:r>
        <w:rPr>
          <w:rFonts w:ascii="Times New Roman" w:hAnsi="Times New Roman" w:eastAsia="宋体"/>
          <w:b w:val="0"/>
          <w:bCs w:val="0"/>
          <w:color w:val="000000"/>
          <w:sz w:val="24"/>
        </w:rPr>
        <w:t>单一动量指标的优点是规则清晰，但其局限也较明显：不同市场状态下，短期收益、长期趋势、波动、回撤和成交活跃度的有效性可能发生变化，固定阈值或固定权重难以同时刻画这些关系。机器学习模型能够在多个连续特征之间识别非线性和交互效应，因此本文采用XGBoost作为核心预测工具</w:t>
      </w:r>
      <w:r>
        <w:rPr>
          <w:rFonts w:ascii="Times New Roman" w:hAnsi="Times New Roman" w:eastAsia="宋体"/>
          <w:b w:val="0"/>
          <w:bCs w:val="0"/>
          <w:color w:val="000000"/>
          <w:sz w:val="24"/>
          <w:vertAlign w:val="superscript"/>
        </w:rPr>
        <w:t>[2]</w:t>
      </w:r>
      <w:r>
        <w:rPr>
          <w:rFonts w:ascii="Times New Roman" w:hAnsi="Times New Roman" w:eastAsia="宋体"/>
          <w:b w:val="0"/>
          <w:bCs w:val="0"/>
          <w:color w:val="000000"/>
          <w:sz w:val="24"/>
        </w:rPr>
        <w:t>。研究的重点并非提高模型复杂度，而是构建一个能够按照事先设定规则持续运行、且便于检验样本外有效性的ETF轮动框架。</w:t>
      </w:r>
    </w:p>
    <w:p w14:paraId="222E01EC">
      <w:pPr>
        <w:pStyle w:val="4"/>
        <w:ind w:left="0" w:leftChars="0" w:firstLine="0" w:firstLineChars="0"/>
        <w:jc w:val="left"/>
        <w:rPr>
          <w:b w:val="0"/>
          <w:bCs w:val="0"/>
        </w:rPr>
      </w:pPr>
      <w:bookmarkStart w:id="3" w:name="_Toc31100"/>
      <w:r>
        <w:rPr>
          <w:rFonts w:ascii="Times New Roman" w:hAnsi="Times New Roman" w:eastAsia="黑体"/>
          <w:b w:val="0"/>
          <w:bCs w:val="0"/>
          <w:color w:val="000000"/>
          <w:sz w:val="24"/>
        </w:rPr>
        <w:t>1.2 策略目标</w:t>
      </w:r>
      <w:bookmarkEnd w:id="3"/>
    </w:p>
    <w:p w14:paraId="41AC6967">
      <w:pPr>
        <w:spacing w:after="0" w:line="300" w:lineRule="auto"/>
        <w:ind w:firstLine="420"/>
        <w:jc w:val="both"/>
        <w:rPr>
          <w:b w:val="0"/>
          <w:bCs w:val="0"/>
        </w:rPr>
      </w:pPr>
      <w:r>
        <w:rPr>
          <w:rFonts w:ascii="Times New Roman" w:hAnsi="Times New Roman" w:eastAsia="宋体"/>
          <w:b w:val="0"/>
          <w:bCs w:val="0"/>
          <w:color w:val="000000"/>
          <w:sz w:val="24"/>
        </w:rPr>
        <w:t>本策略不直接预测股票市场整体的上涨或下跌，而是在固定的10只权益ETF中，每周判断未来约一个月内哪些ETF更可能跑赢ETF池平均水平，并据此形成三只ETF的持仓组合。因此，研究问题本质上是横截面相对强弱排序，而不是市场方向预测。</w:t>
      </w:r>
    </w:p>
    <w:p w14:paraId="41A392DE">
      <w:pPr>
        <w:spacing w:after="0" w:line="300" w:lineRule="auto"/>
        <w:ind w:firstLine="420"/>
        <w:jc w:val="both"/>
        <w:rPr>
          <w:b w:val="0"/>
          <w:bCs w:val="0"/>
        </w:rPr>
      </w:pPr>
      <w:r>
        <w:rPr>
          <w:rFonts w:ascii="Times New Roman" w:hAnsi="Times New Roman" w:eastAsia="宋体"/>
          <w:b w:val="0"/>
          <w:bCs w:val="0"/>
          <w:color w:val="000000"/>
          <w:sz w:val="24"/>
        </w:rPr>
        <w:t>围绕这一目标，策略设计需要同时解决三个问题：第一，如何将价格、趋势、风险和量价信息转化为稳定的横截面排序；第二，如何在排名轻微变化时控制不必要的换手；第三，如何避免未来20日标签跨越训练和测试边界造成的信息泄露，并降低反复选择模型导致的回测过拟合。</w:t>
      </w:r>
    </w:p>
    <w:p w14:paraId="56F80919">
      <w:pPr>
        <w:pStyle w:val="4"/>
        <w:ind w:left="0" w:leftChars="0" w:firstLine="0" w:firstLineChars="0"/>
        <w:jc w:val="left"/>
        <w:rPr>
          <w:b w:val="0"/>
          <w:bCs w:val="0"/>
        </w:rPr>
      </w:pPr>
      <w:bookmarkStart w:id="4" w:name="_Toc29695"/>
      <w:r>
        <w:rPr>
          <w:rFonts w:ascii="Times New Roman" w:hAnsi="Times New Roman" w:eastAsia="黑体"/>
          <w:b w:val="0"/>
          <w:bCs w:val="0"/>
          <w:color w:val="000000"/>
          <w:sz w:val="24"/>
        </w:rPr>
        <w:t>1.3 报告结构</w:t>
      </w:r>
      <w:bookmarkEnd w:id="4"/>
    </w:p>
    <w:p w14:paraId="18EC5417">
      <w:pPr>
        <w:spacing w:after="0" w:line="300" w:lineRule="auto"/>
        <w:ind w:firstLine="420"/>
        <w:jc w:val="both"/>
        <w:rPr>
          <w:b w:val="0"/>
          <w:bCs w:val="0"/>
        </w:rPr>
      </w:pPr>
      <w:r>
        <w:rPr>
          <w:rFonts w:ascii="Times New Roman" w:hAnsi="Times New Roman" w:eastAsia="宋体"/>
          <w:b w:val="0"/>
          <w:bCs w:val="0"/>
          <w:color w:val="000000"/>
          <w:sz w:val="24"/>
        </w:rPr>
        <w:t>第2章重点说明最终策略的完整交易逻辑，包括ETF池、标签、特征、XGBoost训练、持仓缓冲、逆波动率权重和交易成本；第3章说明预测周期、标签形式、交叉验证和GP候选特征的选择过程；第4章报告开发期与最终独立测试期结果；第5章总结策略得到支持的部分及其局限。附录A列示全部22个XGBoost输入特征，附录B汇总最终模型参数和交易规则。</w:t>
      </w:r>
    </w:p>
    <w:p w14:paraId="5F988B7C">
      <w:pPr>
        <w:rPr>
          <w:rFonts w:ascii="Times New Roman" w:hAnsi="Times New Roman" w:eastAsia="黑体"/>
          <w:b w:val="0"/>
          <w:bCs w:val="0"/>
          <w:color w:val="000000"/>
          <w:sz w:val="28"/>
        </w:rPr>
      </w:pPr>
      <w:r>
        <w:rPr>
          <w:rFonts w:ascii="Times New Roman" w:hAnsi="Times New Roman" w:eastAsia="黑体"/>
          <w:b w:val="0"/>
          <w:bCs w:val="0"/>
          <w:color w:val="000000"/>
          <w:sz w:val="28"/>
        </w:rPr>
        <w:br w:type="page"/>
      </w:r>
    </w:p>
    <w:p w14:paraId="7F6FC241">
      <w:pPr>
        <w:pStyle w:val="3"/>
        <w:jc w:val="center"/>
        <w:rPr>
          <w:b w:val="0"/>
          <w:bCs w:val="0"/>
        </w:rPr>
      </w:pPr>
      <w:bookmarkStart w:id="5" w:name="_Toc22291"/>
      <w:r>
        <w:rPr>
          <w:rFonts w:ascii="Times New Roman" w:hAnsi="Times New Roman" w:eastAsia="黑体"/>
          <w:b w:val="0"/>
          <w:bCs w:val="0"/>
          <w:color w:val="000000"/>
          <w:sz w:val="28"/>
        </w:rPr>
        <w:t>第 2 章  最终策略设计与交易逻辑</w:t>
      </w:r>
      <w:bookmarkEnd w:id="5"/>
    </w:p>
    <w:p w14:paraId="01FF67E3">
      <w:pPr>
        <w:pStyle w:val="4"/>
        <w:ind w:left="0" w:leftChars="0" w:firstLine="0" w:firstLineChars="0"/>
        <w:jc w:val="left"/>
        <w:rPr>
          <w:b w:val="0"/>
          <w:bCs w:val="0"/>
        </w:rPr>
      </w:pPr>
      <w:bookmarkStart w:id="6" w:name="_Toc19120"/>
      <w:r>
        <w:rPr>
          <w:rFonts w:ascii="Times New Roman" w:hAnsi="Times New Roman" w:eastAsia="黑体"/>
          <w:b w:val="0"/>
          <w:bCs w:val="0"/>
          <w:color w:val="000000"/>
          <w:sz w:val="24"/>
        </w:rPr>
        <w:t>2.1 ETF池与数据来源</w:t>
      </w:r>
      <w:bookmarkEnd w:id="6"/>
    </w:p>
    <w:p w14:paraId="7BFA469E">
      <w:pPr>
        <w:spacing w:after="60" w:line="300" w:lineRule="auto"/>
        <w:ind w:firstLine="420"/>
        <w:jc w:val="both"/>
        <w:rPr>
          <w:b w:val="0"/>
          <w:bCs w:val="0"/>
        </w:rPr>
      </w:pPr>
      <w:r>
        <w:rPr>
          <w:rFonts w:ascii="Times New Roman" w:hAnsi="Times New Roman" w:eastAsia="宋体"/>
          <w:b w:val="0"/>
          <w:bCs w:val="0"/>
          <w:color w:val="000000"/>
          <w:sz w:val="22"/>
        </w:rPr>
        <w:t>最终ETF池由10只权益类ETF组成，覆盖宽基、风格与行业主题。研究范围限定为权益资产内部轮动，黄金和债券不纳入最终ETF池。</w:t>
      </w:r>
    </w:p>
    <w:p w14:paraId="37DBB633">
      <w:pPr>
        <w:spacing w:after="60" w:line="300" w:lineRule="auto"/>
        <w:ind w:firstLine="420"/>
        <w:jc w:val="both"/>
        <w:rPr>
          <w:b w:val="0"/>
          <w:bCs w:val="0"/>
        </w:rPr>
      </w:pPr>
      <w:r>
        <w:rPr>
          <w:rFonts w:ascii="Times New Roman" w:hAnsi="Times New Roman" w:eastAsia="宋体"/>
          <w:b w:val="0"/>
          <w:bCs w:val="0"/>
          <w:color w:val="000000"/>
          <w:sz w:val="22"/>
        </w:rPr>
        <w:t>日频行情通过AKShare接口获取，主要使用开盘价、收盘价、成交量和成交额等历史可见数据。ETF池具体构成见表2.1。</w:t>
      </w:r>
    </w:p>
    <w:p w14:paraId="79BB2646">
      <w:pPr>
        <w:keepNext/>
        <w:spacing w:before="100" w:after="60"/>
        <w:jc w:val="center"/>
        <w:rPr>
          <w:b w:val="0"/>
          <w:bCs w:val="0"/>
        </w:rPr>
      </w:pPr>
      <w:r>
        <w:rPr>
          <w:rFonts w:ascii="Times New Roman" w:hAnsi="Times New Roman" w:eastAsia="宋体"/>
          <w:b w:val="0"/>
          <w:bCs w:val="0"/>
          <w:color w:val="000000"/>
          <w:sz w:val="21"/>
        </w:rPr>
        <w:t>表 2.1  最终ETF池</w:t>
      </w:r>
    </w:p>
    <w:tbl>
      <w:tblPr>
        <w:tblStyle w:val="34"/>
        <w:tblW w:w="0" w:type="auto"/>
        <w:jc w:val="center"/>
        <w:tblLayout w:type="autofit"/>
        <w:tblCellMar>
          <w:top w:w="0" w:type="dxa"/>
          <w:left w:w="108" w:type="dxa"/>
          <w:bottom w:w="0" w:type="dxa"/>
          <w:right w:w="108" w:type="dxa"/>
        </w:tblCellMar>
      </w:tblPr>
      <w:tblGrid>
        <w:gridCol w:w="1360"/>
        <w:gridCol w:w="2267"/>
        <w:gridCol w:w="2948"/>
      </w:tblGrid>
      <w:tr w14:paraId="787DBCB1">
        <w:tblPrEx>
          <w:tblCellMar>
            <w:top w:w="0" w:type="dxa"/>
            <w:left w:w="108" w:type="dxa"/>
            <w:bottom w:w="0" w:type="dxa"/>
            <w:right w:w="108" w:type="dxa"/>
          </w:tblCellMar>
        </w:tblPrEx>
        <w:trPr>
          <w:cantSplit/>
          <w:jc w:val="center"/>
        </w:trPr>
        <w:tc>
          <w:tcPr>
            <w:tcW w:w="1360"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0FB717C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代码</w:t>
            </w:r>
          </w:p>
        </w:tc>
        <w:tc>
          <w:tcPr>
            <w:tcW w:w="226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45F740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ETF</w:t>
            </w:r>
          </w:p>
        </w:tc>
        <w:tc>
          <w:tcPr>
            <w:tcW w:w="2948"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AFB39A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主要暴露</w:t>
            </w:r>
          </w:p>
        </w:tc>
      </w:tr>
      <w:tr w14:paraId="61019E77">
        <w:tblPrEx>
          <w:tblCellMar>
            <w:top w:w="0" w:type="dxa"/>
            <w:left w:w="108" w:type="dxa"/>
            <w:bottom w:w="0" w:type="dxa"/>
            <w:right w:w="108" w:type="dxa"/>
          </w:tblCellMar>
        </w:tblPrEx>
        <w:trPr>
          <w:cantSplit/>
          <w:jc w:val="center"/>
        </w:trPr>
        <w:tc>
          <w:tcPr>
            <w:tcW w:w="136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213D611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510050</w:t>
            </w:r>
          </w:p>
        </w:tc>
        <w:tc>
          <w:tcPr>
            <w:tcW w:w="226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58D82B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上证50ETF</w:t>
            </w:r>
          </w:p>
        </w:tc>
        <w:tc>
          <w:tcPr>
            <w:tcW w:w="2948"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765EF3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大盘蓝筹</w:t>
            </w:r>
          </w:p>
        </w:tc>
      </w:tr>
      <w:tr w14:paraId="143C3974">
        <w:tblPrEx>
          <w:tblCellMar>
            <w:top w:w="0" w:type="dxa"/>
            <w:left w:w="108" w:type="dxa"/>
            <w:bottom w:w="0" w:type="dxa"/>
            <w:right w:w="108" w:type="dxa"/>
          </w:tblCellMar>
        </w:tblPrEx>
        <w:trPr>
          <w:cantSplit/>
          <w:jc w:val="center"/>
        </w:trPr>
        <w:tc>
          <w:tcPr>
            <w:tcW w:w="1360" w:type="dxa"/>
            <w:tcBorders>
              <w:top w:val="nil"/>
              <w:left w:val="nil"/>
              <w:bottom w:val="nil"/>
              <w:right w:val="nil"/>
            </w:tcBorders>
            <w:shd w:val="clear" w:color="auto" w:fill="FFFFFF"/>
            <w:tcMar>
              <w:top w:w="60" w:type="dxa"/>
              <w:left w:w="80" w:type="dxa"/>
              <w:bottom w:w="60" w:type="dxa"/>
              <w:right w:w="80" w:type="dxa"/>
            </w:tcMar>
            <w:vAlign w:val="center"/>
          </w:tcPr>
          <w:p w14:paraId="716F516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510300</w:t>
            </w:r>
          </w:p>
        </w:tc>
        <w:tc>
          <w:tcPr>
            <w:tcW w:w="2267" w:type="dxa"/>
            <w:tcBorders>
              <w:top w:val="nil"/>
              <w:left w:val="nil"/>
              <w:bottom w:val="nil"/>
              <w:right w:val="nil"/>
            </w:tcBorders>
            <w:shd w:val="clear" w:color="auto" w:fill="FFFFFF"/>
            <w:tcMar>
              <w:top w:w="60" w:type="dxa"/>
              <w:left w:w="80" w:type="dxa"/>
              <w:bottom w:w="60" w:type="dxa"/>
              <w:right w:w="80" w:type="dxa"/>
            </w:tcMar>
            <w:vAlign w:val="center"/>
          </w:tcPr>
          <w:p w14:paraId="0A7A2B8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沪深300ETF</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271186B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核心宽基</w:t>
            </w:r>
          </w:p>
        </w:tc>
      </w:tr>
      <w:tr w14:paraId="7C0FBE5E">
        <w:tblPrEx>
          <w:tblCellMar>
            <w:top w:w="0" w:type="dxa"/>
            <w:left w:w="108" w:type="dxa"/>
            <w:bottom w:w="0" w:type="dxa"/>
            <w:right w:w="108" w:type="dxa"/>
          </w:tblCellMar>
        </w:tblPrEx>
        <w:trPr>
          <w:cantSplit/>
          <w:jc w:val="center"/>
        </w:trPr>
        <w:tc>
          <w:tcPr>
            <w:tcW w:w="1360" w:type="dxa"/>
            <w:tcBorders>
              <w:top w:val="nil"/>
              <w:left w:val="nil"/>
              <w:bottom w:val="nil"/>
              <w:right w:val="nil"/>
            </w:tcBorders>
            <w:shd w:val="clear" w:color="auto" w:fill="FFFFFF"/>
            <w:tcMar>
              <w:top w:w="60" w:type="dxa"/>
              <w:left w:w="80" w:type="dxa"/>
              <w:bottom w:w="60" w:type="dxa"/>
              <w:right w:w="80" w:type="dxa"/>
            </w:tcMar>
            <w:vAlign w:val="center"/>
          </w:tcPr>
          <w:p w14:paraId="121C8EC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510500</w:t>
            </w:r>
          </w:p>
        </w:tc>
        <w:tc>
          <w:tcPr>
            <w:tcW w:w="2267" w:type="dxa"/>
            <w:tcBorders>
              <w:top w:val="nil"/>
              <w:left w:val="nil"/>
              <w:bottom w:val="nil"/>
              <w:right w:val="nil"/>
            </w:tcBorders>
            <w:shd w:val="clear" w:color="auto" w:fill="FFFFFF"/>
            <w:tcMar>
              <w:top w:w="60" w:type="dxa"/>
              <w:left w:w="80" w:type="dxa"/>
              <w:bottom w:w="60" w:type="dxa"/>
              <w:right w:w="80" w:type="dxa"/>
            </w:tcMar>
            <w:vAlign w:val="center"/>
          </w:tcPr>
          <w:p w14:paraId="6A88E558">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中证500ETF</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16483E4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中盘</w:t>
            </w:r>
          </w:p>
        </w:tc>
      </w:tr>
      <w:tr w14:paraId="552E201E">
        <w:tblPrEx>
          <w:tblCellMar>
            <w:top w:w="0" w:type="dxa"/>
            <w:left w:w="108" w:type="dxa"/>
            <w:bottom w:w="0" w:type="dxa"/>
            <w:right w:w="108" w:type="dxa"/>
          </w:tblCellMar>
        </w:tblPrEx>
        <w:trPr>
          <w:cantSplit/>
          <w:jc w:val="center"/>
        </w:trPr>
        <w:tc>
          <w:tcPr>
            <w:tcW w:w="1360" w:type="dxa"/>
            <w:tcBorders>
              <w:top w:val="nil"/>
              <w:left w:val="nil"/>
              <w:bottom w:val="nil"/>
              <w:right w:val="nil"/>
            </w:tcBorders>
            <w:shd w:val="clear" w:color="auto" w:fill="FFFFFF"/>
            <w:tcMar>
              <w:top w:w="60" w:type="dxa"/>
              <w:left w:w="80" w:type="dxa"/>
              <w:bottom w:w="60" w:type="dxa"/>
              <w:right w:w="80" w:type="dxa"/>
            </w:tcMar>
            <w:vAlign w:val="center"/>
          </w:tcPr>
          <w:p w14:paraId="7A18902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512100</w:t>
            </w:r>
          </w:p>
        </w:tc>
        <w:tc>
          <w:tcPr>
            <w:tcW w:w="2267" w:type="dxa"/>
            <w:tcBorders>
              <w:top w:val="nil"/>
              <w:left w:val="nil"/>
              <w:bottom w:val="nil"/>
              <w:right w:val="nil"/>
            </w:tcBorders>
            <w:shd w:val="clear" w:color="auto" w:fill="FFFFFF"/>
            <w:tcMar>
              <w:top w:w="60" w:type="dxa"/>
              <w:left w:w="80" w:type="dxa"/>
              <w:bottom w:w="60" w:type="dxa"/>
              <w:right w:w="80" w:type="dxa"/>
            </w:tcMar>
            <w:vAlign w:val="center"/>
          </w:tcPr>
          <w:p w14:paraId="019AA98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中证1000ETF</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7E6EAF6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小盘</w:t>
            </w:r>
          </w:p>
        </w:tc>
      </w:tr>
      <w:tr w14:paraId="5AA12135">
        <w:tblPrEx>
          <w:tblCellMar>
            <w:top w:w="0" w:type="dxa"/>
            <w:left w:w="108" w:type="dxa"/>
            <w:bottom w:w="0" w:type="dxa"/>
            <w:right w:w="108" w:type="dxa"/>
          </w:tblCellMar>
        </w:tblPrEx>
        <w:trPr>
          <w:cantSplit/>
          <w:jc w:val="center"/>
        </w:trPr>
        <w:tc>
          <w:tcPr>
            <w:tcW w:w="1360" w:type="dxa"/>
            <w:tcBorders>
              <w:top w:val="nil"/>
              <w:left w:val="nil"/>
              <w:bottom w:val="nil"/>
              <w:right w:val="nil"/>
            </w:tcBorders>
            <w:shd w:val="clear" w:color="auto" w:fill="FFFFFF"/>
            <w:tcMar>
              <w:top w:w="60" w:type="dxa"/>
              <w:left w:w="80" w:type="dxa"/>
              <w:bottom w:w="60" w:type="dxa"/>
              <w:right w:w="80" w:type="dxa"/>
            </w:tcMar>
            <w:vAlign w:val="center"/>
          </w:tcPr>
          <w:p w14:paraId="50693CB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159915</w:t>
            </w:r>
          </w:p>
        </w:tc>
        <w:tc>
          <w:tcPr>
            <w:tcW w:w="2267" w:type="dxa"/>
            <w:tcBorders>
              <w:top w:val="nil"/>
              <w:left w:val="nil"/>
              <w:bottom w:val="nil"/>
              <w:right w:val="nil"/>
            </w:tcBorders>
            <w:shd w:val="clear" w:color="auto" w:fill="FFFFFF"/>
            <w:tcMar>
              <w:top w:w="60" w:type="dxa"/>
              <w:left w:w="80" w:type="dxa"/>
              <w:bottom w:w="60" w:type="dxa"/>
              <w:right w:w="80" w:type="dxa"/>
            </w:tcMar>
            <w:vAlign w:val="center"/>
          </w:tcPr>
          <w:p w14:paraId="3034ACF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创业板ETF</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61360B1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成长</w:t>
            </w:r>
          </w:p>
        </w:tc>
      </w:tr>
      <w:tr w14:paraId="0252E989">
        <w:tblPrEx>
          <w:tblCellMar>
            <w:top w:w="0" w:type="dxa"/>
            <w:left w:w="108" w:type="dxa"/>
            <w:bottom w:w="0" w:type="dxa"/>
            <w:right w:w="108" w:type="dxa"/>
          </w:tblCellMar>
        </w:tblPrEx>
        <w:trPr>
          <w:cantSplit/>
          <w:jc w:val="center"/>
        </w:trPr>
        <w:tc>
          <w:tcPr>
            <w:tcW w:w="1360" w:type="dxa"/>
            <w:tcBorders>
              <w:top w:val="nil"/>
              <w:left w:val="nil"/>
              <w:bottom w:val="nil"/>
              <w:right w:val="nil"/>
            </w:tcBorders>
            <w:shd w:val="clear" w:color="auto" w:fill="FFFFFF"/>
            <w:tcMar>
              <w:top w:w="60" w:type="dxa"/>
              <w:left w:w="80" w:type="dxa"/>
              <w:bottom w:w="60" w:type="dxa"/>
              <w:right w:w="80" w:type="dxa"/>
            </w:tcMar>
            <w:vAlign w:val="center"/>
          </w:tcPr>
          <w:p w14:paraId="3888E1E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510880</w:t>
            </w:r>
          </w:p>
        </w:tc>
        <w:tc>
          <w:tcPr>
            <w:tcW w:w="2267" w:type="dxa"/>
            <w:tcBorders>
              <w:top w:val="nil"/>
              <w:left w:val="nil"/>
              <w:bottom w:val="nil"/>
              <w:right w:val="nil"/>
            </w:tcBorders>
            <w:shd w:val="clear" w:color="auto" w:fill="FFFFFF"/>
            <w:tcMar>
              <w:top w:w="60" w:type="dxa"/>
              <w:left w:w="80" w:type="dxa"/>
              <w:bottom w:w="60" w:type="dxa"/>
              <w:right w:w="80" w:type="dxa"/>
            </w:tcMar>
            <w:vAlign w:val="center"/>
          </w:tcPr>
          <w:p w14:paraId="09AFB33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红利ETF</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4D7480D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红利/价值</w:t>
            </w:r>
          </w:p>
        </w:tc>
      </w:tr>
      <w:tr w14:paraId="6E064C14">
        <w:tblPrEx>
          <w:tblCellMar>
            <w:top w:w="0" w:type="dxa"/>
            <w:left w:w="108" w:type="dxa"/>
            <w:bottom w:w="0" w:type="dxa"/>
            <w:right w:w="108" w:type="dxa"/>
          </w:tblCellMar>
        </w:tblPrEx>
        <w:trPr>
          <w:cantSplit/>
          <w:jc w:val="center"/>
        </w:trPr>
        <w:tc>
          <w:tcPr>
            <w:tcW w:w="1360" w:type="dxa"/>
            <w:tcBorders>
              <w:top w:val="nil"/>
              <w:left w:val="nil"/>
              <w:bottom w:val="nil"/>
              <w:right w:val="nil"/>
            </w:tcBorders>
            <w:shd w:val="clear" w:color="auto" w:fill="FFFFFF"/>
            <w:tcMar>
              <w:top w:w="60" w:type="dxa"/>
              <w:left w:w="80" w:type="dxa"/>
              <w:bottom w:w="60" w:type="dxa"/>
              <w:right w:w="80" w:type="dxa"/>
            </w:tcMar>
            <w:vAlign w:val="center"/>
          </w:tcPr>
          <w:p w14:paraId="1392CF1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159928</w:t>
            </w:r>
          </w:p>
        </w:tc>
        <w:tc>
          <w:tcPr>
            <w:tcW w:w="2267" w:type="dxa"/>
            <w:tcBorders>
              <w:top w:val="nil"/>
              <w:left w:val="nil"/>
              <w:bottom w:val="nil"/>
              <w:right w:val="nil"/>
            </w:tcBorders>
            <w:shd w:val="clear" w:color="auto" w:fill="FFFFFF"/>
            <w:tcMar>
              <w:top w:w="60" w:type="dxa"/>
              <w:left w:w="80" w:type="dxa"/>
              <w:bottom w:w="60" w:type="dxa"/>
              <w:right w:w="80" w:type="dxa"/>
            </w:tcMar>
            <w:vAlign w:val="center"/>
          </w:tcPr>
          <w:p w14:paraId="013E735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消费ETF</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7E39552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消费行业</w:t>
            </w:r>
          </w:p>
        </w:tc>
      </w:tr>
      <w:tr w14:paraId="512F3B22">
        <w:tblPrEx>
          <w:tblCellMar>
            <w:top w:w="0" w:type="dxa"/>
            <w:left w:w="108" w:type="dxa"/>
            <w:bottom w:w="0" w:type="dxa"/>
            <w:right w:w="108" w:type="dxa"/>
          </w:tblCellMar>
        </w:tblPrEx>
        <w:trPr>
          <w:cantSplit/>
          <w:jc w:val="center"/>
        </w:trPr>
        <w:tc>
          <w:tcPr>
            <w:tcW w:w="1360" w:type="dxa"/>
            <w:tcBorders>
              <w:top w:val="nil"/>
              <w:left w:val="nil"/>
              <w:bottom w:val="nil"/>
              <w:right w:val="nil"/>
            </w:tcBorders>
            <w:shd w:val="clear" w:color="auto" w:fill="FFFFFF"/>
            <w:tcMar>
              <w:top w:w="60" w:type="dxa"/>
              <w:left w:w="80" w:type="dxa"/>
              <w:bottom w:w="60" w:type="dxa"/>
              <w:right w:w="80" w:type="dxa"/>
            </w:tcMar>
            <w:vAlign w:val="center"/>
          </w:tcPr>
          <w:p w14:paraId="5755792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512880</w:t>
            </w:r>
          </w:p>
        </w:tc>
        <w:tc>
          <w:tcPr>
            <w:tcW w:w="2267" w:type="dxa"/>
            <w:tcBorders>
              <w:top w:val="nil"/>
              <w:left w:val="nil"/>
              <w:bottom w:val="nil"/>
              <w:right w:val="nil"/>
            </w:tcBorders>
            <w:shd w:val="clear" w:color="auto" w:fill="FFFFFF"/>
            <w:tcMar>
              <w:top w:w="60" w:type="dxa"/>
              <w:left w:w="80" w:type="dxa"/>
              <w:bottom w:w="60" w:type="dxa"/>
              <w:right w:w="80" w:type="dxa"/>
            </w:tcMar>
            <w:vAlign w:val="center"/>
          </w:tcPr>
          <w:p w14:paraId="3FADC32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证券ETF</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3956DEA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证券行业</w:t>
            </w:r>
          </w:p>
        </w:tc>
      </w:tr>
      <w:tr w14:paraId="35196B5F">
        <w:tblPrEx>
          <w:tblCellMar>
            <w:top w:w="0" w:type="dxa"/>
            <w:left w:w="108" w:type="dxa"/>
            <w:bottom w:w="0" w:type="dxa"/>
            <w:right w:w="108" w:type="dxa"/>
          </w:tblCellMar>
        </w:tblPrEx>
        <w:trPr>
          <w:cantSplit/>
          <w:jc w:val="center"/>
        </w:trPr>
        <w:tc>
          <w:tcPr>
            <w:tcW w:w="1360" w:type="dxa"/>
            <w:tcBorders>
              <w:top w:val="nil"/>
              <w:left w:val="nil"/>
              <w:bottom w:val="nil"/>
              <w:right w:val="nil"/>
            </w:tcBorders>
            <w:shd w:val="clear" w:color="auto" w:fill="FFFFFF"/>
            <w:tcMar>
              <w:top w:w="60" w:type="dxa"/>
              <w:left w:w="80" w:type="dxa"/>
              <w:bottom w:w="60" w:type="dxa"/>
              <w:right w:w="80" w:type="dxa"/>
            </w:tcMar>
            <w:vAlign w:val="center"/>
          </w:tcPr>
          <w:p w14:paraId="16B45D1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512010</w:t>
            </w:r>
          </w:p>
        </w:tc>
        <w:tc>
          <w:tcPr>
            <w:tcW w:w="2267" w:type="dxa"/>
            <w:tcBorders>
              <w:top w:val="nil"/>
              <w:left w:val="nil"/>
              <w:bottom w:val="nil"/>
              <w:right w:val="nil"/>
            </w:tcBorders>
            <w:shd w:val="clear" w:color="auto" w:fill="FFFFFF"/>
            <w:tcMar>
              <w:top w:w="60" w:type="dxa"/>
              <w:left w:w="80" w:type="dxa"/>
              <w:bottom w:w="60" w:type="dxa"/>
              <w:right w:w="80" w:type="dxa"/>
            </w:tcMar>
            <w:vAlign w:val="center"/>
          </w:tcPr>
          <w:p w14:paraId="7FEBC23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医药ETF</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7C38357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医药行业</w:t>
            </w:r>
          </w:p>
        </w:tc>
      </w:tr>
      <w:tr w14:paraId="0774B93D">
        <w:tblPrEx>
          <w:tblCellMar>
            <w:top w:w="0" w:type="dxa"/>
            <w:left w:w="108" w:type="dxa"/>
            <w:bottom w:w="0" w:type="dxa"/>
            <w:right w:w="108" w:type="dxa"/>
          </w:tblCellMar>
        </w:tblPrEx>
        <w:trPr>
          <w:cantSplit/>
          <w:jc w:val="center"/>
        </w:trPr>
        <w:tc>
          <w:tcPr>
            <w:tcW w:w="136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BC835D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512660</w:t>
            </w:r>
          </w:p>
        </w:tc>
        <w:tc>
          <w:tcPr>
            <w:tcW w:w="226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3C750AE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军工ETF</w:t>
            </w:r>
          </w:p>
        </w:tc>
        <w:tc>
          <w:tcPr>
            <w:tcW w:w="2948"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912F3F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军工行业</w:t>
            </w:r>
          </w:p>
        </w:tc>
      </w:tr>
    </w:tbl>
    <w:p w14:paraId="05A99FEF">
      <w:pPr>
        <w:spacing w:after="0"/>
        <w:rPr>
          <w:b w:val="0"/>
          <w:bCs w:val="0"/>
        </w:rPr>
      </w:pPr>
    </w:p>
    <w:p w14:paraId="69550BDC">
      <w:pPr>
        <w:pStyle w:val="4"/>
        <w:ind w:left="0" w:leftChars="0" w:firstLine="0" w:firstLineChars="0"/>
        <w:jc w:val="left"/>
        <w:rPr>
          <w:b w:val="0"/>
          <w:bCs w:val="0"/>
        </w:rPr>
      </w:pPr>
      <w:bookmarkStart w:id="7" w:name="_Toc6977"/>
      <w:r>
        <w:rPr>
          <w:rFonts w:ascii="Times New Roman" w:hAnsi="Times New Roman" w:eastAsia="黑体"/>
          <w:b w:val="0"/>
          <w:bCs w:val="0"/>
          <w:color w:val="000000"/>
          <w:sz w:val="24"/>
        </w:rPr>
        <w:t>2.2 预测目标与相对收益标签</w:t>
      </w:r>
      <w:bookmarkEnd w:id="7"/>
    </w:p>
    <w:p w14:paraId="1E24D7B4">
      <w:pPr>
        <w:spacing w:after="0" w:line="300" w:lineRule="auto"/>
        <w:ind w:firstLine="420"/>
        <w:jc w:val="both"/>
        <w:rPr>
          <w:rFonts w:ascii="Times New Roman" w:hAnsi="Times New Roman" w:eastAsia="宋体"/>
          <w:b w:val="0"/>
          <w:bCs w:val="0"/>
          <w:color w:val="000000"/>
          <w:sz w:val="24"/>
        </w:rPr>
      </w:pPr>
      <w:r>
        <w:rPr>
          <w:rFonts w:ascii="Times New Roman" w:hAnsi="Times New Roman" w:eastAsia="宋体"/>
          <w:b w:val="0"/>
          <w:bCs w:val="0"/>
          <w:color w:val="000000"/>
          <w:sz w:val="24"/>
        </w:rPr>
        <w:t>每个周度信号日记为t。信号在t日收盘后生成，因此可实际执行的进入价格为下一交易日开盘价。本文将未来20个交易日收益定义为从t+1日开盘持有至t+21日开盘的收益率。对第i只ETF，其未来20日绝对收益记为Rᵢ,ₜ。</w:t>
      </w:r>
    </w:p>
    <w:p w14:paraId="6F57B984">
      <w:pPr>
        <w:spacing w:after="0" w:line="300" w:lineRule="auto"/>
        <w:ind w:firstLine="420"/>
        <w:jc w:val="both"/>
        <m:rPr/>
        <w:rPr>
          <w:rFonts w:hint="default" w:hAnsi="Times New Roman"/>
          <w:b w:val="0"/>
          <w:bCs w:val="0"/>
          <w:i w:val="0"/>
          <w:color w:val="000000"/>
          <w:sz w:val="22"/>
          <w:lang w:val="en-US" w:eastAsia="zh-CN"/>
        </w:rPr>
      </w:pPr>
      <m:oMathPara>
        <m:oMath>
          <m:eqArr>
            <m:eqArrPr>
              <m:maxDist m:val="1"/>
              <m:ctrlPr>
                <m:rPr/>
                <w:rPr>
                  <w:rFonts w:hint="default" w:ascii="Cambria Math" w:hAnsi="Cambria Math" w:cs="Times New Roman"/>
                  <w:b w:val="0"/>
                  <w:bCs w:val="0"/>
                  <w:i w:val="0"/>
                  <w:color w:val="000000"/>
                  <w:sz w:val="22"/>
                  <w:lang w:val="en-US" w:eastAsia="zh-CN"/>
                </w:rPr>
              </m:ctrlPr>
            </m:eqArrPr>
            <m:e>
              <m:r>
                <m:rPr>
                  <m:nor/>
                </m:rPr>
                <w:rPr>
                  <w:rFonts w:hint="default" w:ascii="Times New Roman" w:hAnsi="Times New Roman" w:eastAsia="宋体" w:cs="Times New Roman"/>
                  <w:b w:val="0"/>
                  <w:bCs w:val="0"/>
                  <w:i/>
                  <w:sz w:val="22"/>
                </w:rPr>
                <m:t>R</m:t>
              </m:r>
              <m:r>
                <m:rPr>
                  <m:nor/>
                  <m:sty m:val="p"/>
                </m:rPr>
                <w:rPr>
                  <w:rFonts w:hint="default" w:ascii="Times New Roman" w:hAnsi="Times New Roman" w:eastAsia="宋体" w:cs="Times New Roman"/>
                  <w:b w:val="0"/>
                  <w:bCs w:val="0"/>
                  <w:i w:val="0"/>
                  <w:sz w:val="22"/>
                </w:rPr>
                <m:t>ᵢ,ₜ=</m:t>
              </m:r>
              <m:r>
                <m:rPr>
                  <m:nor/>
                </m:rPr>
                <w:rPr>
                  <w:rFonts w:hint="default" w:ascii="Times New Roman" w:hAnsi="Times New Roman" w:eastAsia="宋体" w:cs="Times New Roman"/>
                  <w:b w:val="0"/>
                  <w:bCs w:val="0"/>
                  <w:i/>
                  <w:sz w:val="22"/>
                </w:rPr>
                <m:t>Open</m:t>
              </m:r>
              <m:r>
                <m:rPr>
                  <m:nor/>
                  <m:sty m:val="p"/>
                </m:rPr>
                <w:rPr>
                  <w:rFonts w:hint="default" w:ascii="Times New Roman" w:hAnsi="Times New Roman" w:eastAsia="宋体" w:cs="Times New Roman"/>
                  <w:b w:val="0"/>
                  <w:bCs w:val="0"/>
                  <w:i w:val="0"/>
                  <w:sz w:val="22"/>
                </w:rPr>
                <m:t>ᵢ,ₜ₊₂₁/</m:t>
              </m:r>
              <m:r>
                <m:rPr>
                  <m:nor/>
                </m:rPr>
                <w:rPr>
                  <w:rFonts w:hint="default" w:ascii="Times New Roman" w:hAnsi="Times New Roman" w:eastAsia="宋体" w:cs="Times New Roman"/>
                  <w:b w:val="0"/>
                  <w:bCs w:val="0"/>
                  <w:i/>
                  <w:sz w:val="22"/>
                </w:rPr>
                <m:t>Open</m:t>
              </m:r>
              <m:r>
                <m:rPr>
                  <m:nor/>
                  <m:sty m:val="p"/>
                </m:rPr>
                <w:rPr>
                  <w:rFonts w:hint="default" w:ascii="Times New Roman" w:hAnsi="Times New Roman" w:eastAsia="宋体" w:cs="Times New Roman"/>
                  <w:b w:val="0"/>
                  <w:bCs w:val="0"/>
                  <w:i w:val="0"/>
                  <w:sz w:val="22"/>
                </w:rPr>
                <m:t>ᵢ,ₜ₊₁−1</m:t>
              </m:r>
              <m:r>
                <m:rPr>
                  <m:sty m:val="p"/>
                </m:rPr>
                <w:rPr>
                  <w:rFonts w:hint="default" w:ascii="Cambria Math" w:hAnsi="Cambria Math" w:eastAsia="宋体" w:cs="Times New Roman"/>
                  <w:color w:val="000000"/>
                  <w:sz w:val="22"/>
                  <w:lang w:val="en-US" w:eastAsia="zh-CN"/>
                </w:rPr>
                <m:t>#</m:t>
              </m:r>
              <m:r>
                <m:rPr>
                  <m:nor/>
                  <m:sty m:val="p"/>
                </m:rPr>
                <w:rPr>
                  <w:rFonts w:hint="default" w:ascii="Times New Roman" w:hAnsi="Times New Roman" w:eastAsia="宋体" w:cs="Times New Roman"/>
                  <w:b w:val="0"/>
                  <w:bCs w:val="0"/>
                  <w:i w:val="0"/>
                  <w:color w:val="000000"/>
                  <w:sz w:val="22"/>
                  <w:lang w:val="en-US" w:eastAsia="zh-CN"/>
                </w:rPr>
                <m:t>(2−1)</m:t>
              </m:r>
              <m:ctrlPr>
                <m:rPr/>
                <w:rPr>
                  <w:rFonts w:hint="default" w:ascii="Cambria Math" w:hAnsi="Cambria Math" w:cs="Times New Roman"/>
                  <w:b w:val="0"/>
                  <w:bCs w:val="0"/>
                  <w:i w:val="0"/>
                  <w:color w:val="000000"/>
                  <w:sz w:val="22"/>
                  <w:lang w:val="en-US" w:eastAsia="zh-CN"/>
                </w:rPr>
              </m:ctrlPr>
            </m:e>
          </m:eqArr>
        </m:oMath>
      </m:oMathPara>
    </w:p>
    <w:p w14:paraId="130AB0B6">
      <w:pPr>
        <w:spacing w:after="0" w:line="300" w:lineRule="auto"/>
        <w:ind w:firstLine="480" w:firstLineChars="200"/>
        <w:jc w:val="both"/>
        <w:rPr>
          <w:rFonts w:ascii="Times New Roman" w:hAnsi="Times New Roman" w:eastAsia="宋体"/>
          <w:b w:val="0"/>
          <w:bCs w:val="0"/>
          <w:color w:val="000000"/>
          <w:sz w:val="24"/>
        </w:rPr>
      </w:pPr>
      <w:r>
        <w:rPr>
          <w:rFonts w:ascii="Times New Roman" w:hAnsi="Times New Roman" w:eastAsia="宋体"/>
          <w:b w:val="0"/>
          <w:bCs w:val="0"/>
          <w:color w:val="000000"/>
          <w:sz w:val="24"/>
        </w:rPr>
        <w:t>由于组合任务是在同一时点从10只ETF中选择相对更强的三只，最终标签使用横截面相对收益，即用每只ETF的未来20日绝对收益减去当日10只ETF的平均未来收益。这样可以把市场整体方向与ETF之间的相对强弱分开，使XGBoost的输出更适合作为排序分数。</w:t>
      </w:r>
    </w:p>
    <w:p w14:paraId="0249DD14">
      <w:pPr>
        <w:spacing w:after="0" w:line="300" w:lineRule="auto"/>
        <w:ind w:firstLine="440" w:firstLineChars="200"/>
        <w:jc w:val="both"/>
        <m:rPr/>
        <w:rPr>
          <w:rFonts w:hint="default" w:hAnsi="Times New Roman"/>
          <w:b w:val="0"/>
          <w:bCs w:val="0"/>
          <w:i w:val="0"/>
          <w:color w:val="000000"/>
          <w:sz w:val="22"/>
          <w:lang w:val="en-US" w:eastAsia="zh-CN"/>
        </w:rPr>
      </w:pPr>
      <m:oMathPara>
        <m:oMath>
          <m:eqArr>
            <m:eqArrPr>
              <m:maxDist m:val="1"/>
              <m:ctrlPr>
                <m:rPr/>
                <w:rPr>
                  <w:rFonts w:hint="default" w:ascii="Cambria Math" w:hAnsi="Cambria Math" w:cs="Times New Roman"/>
                  <w:b w:val="0"/>
                  <w:bCs w:val="0"/>
                  <w:i w:val="0"/>
                  <w:color w:val="000000"/>
                  <w:sz w:val="22"/>
                  <w:lang w:val="en-US" w:eastAsia="zh-CN"/>
                </w:rPr>
              </m:ctrlPr>
            </m:eqArrPr>
            <m:e>
              <m:r>
                <m:rPr>
                  <m:nor/>
                </m:rPr>
                <w:rPr>
                  <w:rFonts w:hint="default" w:ascii="Times New Roman" w:hAnsi="Times New Roman" w:eastAsia="宋体" w:cs="Times New Roman"/>
                  <w:b w:val="0"/>
                  <w:bCs w:val="0"/>
                  <w:i/>
                  <w:sz w:val="22"/>
                </w:rPr>
                <m:t>y</m:t>
              </m:r>
              <m:r>
                <m:rPr>
                  <m:nor/>
                  <m:sty m:val="p"/>
                </m:rPr>
                <w:rPr>
                  <w:rFonts w:hint="default" w:ascii="Times New Roman" w:hAnsi="Times New Roman" w:eastAsia="宋体" w:cs="Times New Roman"/>
                  <w:b w:val="0"/>
                  <w:bCs w:val="0"/>
                  <w:i w:val="0"/>
                  <w:sz w:val="22"/>
                </w:rPr>
                <m:t>ᵢ,ₜ=</m:t>
              </m:r>
              <m:r>
                <m:rPr>
                  <m:nor/>
                </m:rPr>
                <w:rPr>
                  <w:rFonts w:hint="default" w:ascii="Times New Roman" w:hAnsi="Times New Roman" w:eastAsia="宋体" w:cs="Times New Roman"/>
                  <w:b w:val="0"/>
                  <w:bCs w:val="0"/>
                  <w:i/>
                  <w:sz w:val="22"/>
                </w:rPr>
                <m:t>R</m:t>
              </m:r>
              <m:r>
                <m:rPr>
                  <m:nor/>
                  <m:sty m:val="p"/>
                </m:rPr>
                <w:rPr>
                  <w:rFonts w:hint="default" w:ascii="Times New Roman" w:hAnsi="Times New Roman" w:eastAsia="宋体" w:cs="Times New Roman"/>
                  <w:b w:val="0"/>
                  <w:bCs w:val="0"/>
                  <w:i w:val="0"/>
                  <w:sz w:val="22"/>
                </w:rPr>
                <m:t>ᵢ,ₜ−(1/</m:t>
              </m:r>
              <m:r>
                <m:rPr>
                  <m:nor/>
                </m:rPr>
                <w:rPr>
                  <w:rFonts w:hint="default" w:ascii="Times New Roman" w:hAnsi="Times New Roman" w:eastAsia="宋体" w:cs="Times New Roman"/>
                  <w:b w:val="0"/>
                  <w:bCs w:val="0"/>
                  <w:i/>
                  <w:sz w:val="22"/>
                </w:rPr>
                <m:t>N</m:t>
              </m:r>
              <m:r>
                <m:rPr>
                  <m:nor/>
                  <m:sty m:val="p"/>
                </m:rPr>
                <w:rPr>
                  <w:rFonts w:hint="default" w:ascii="Times New Roman" w:hAnsi="Times New Roman" w:eastAsia="宋体" w:cs="Times New Roman"/>
                  <w:b w:val="0"/>
                  <w:bCs w:val="0"/>
                  <w:i w:val="0"/>
                  <w:sz w:val="22"/>
                </w:rPr>
                <m:t>)Σⱼ</m:t>
              </m:r>
              <m:r>
                <m:rPr>
                  <m:nor/>
                </m:rPr>
                <w:rPr>
                  <w:rFonts w:hint="default" w:ascii="Times New Roman" w:hAnsi="Times New Roman" w:eastAsia="宋体" w:cs="Times New Roman"/>
                  <w:b w:val="0"/>
                  <w:bCs w:val="0"/>
                  <w:i/>
                  <w:sz w:val="22"/>
                </w:rPr>
                <m:t>R</m:t>
              </m:r>
              <m:r>
                <m:rPr>
                  <m:nor/>
                  <m:sty m:val="p"/>
                </m:rPr>
                <w:rPr>
                  <w:rFonts w:hint="default" w:ascii="Times New Roman" w:hAnsi="Times New Roman" w:eastAsia="宋体" w:cs="Times New Roman"/>
                  <w:b w:val="0"/>
                  <w:bCs w:val="0"/>
                  <w:i w:val="0"/>
                  <w:sz w:val="22"/>
                </w:rPr>
                <m:t>ⱼ,ₜ(</m:t>
              </m:r>
              <m:r>
                <m:rPr>
                  <m:nor/>
                </m:rPr>
                <w:rPr>
                  <w:rFonts w:hint="default" w:ascii="Times New Roman" w:hAnsi="Times New Roman" w:eastAsia="宋体" w:cs="Times New Roman"/>
                  <w:b w:val="0"/>
                  <w:bCs w:val="0"/>
                  <w:i/>
                  <w:sz w:val="22"/>
                </w:rPr>
                <m:t>N</m:t>
              </m:r>
              <m:r>
                <m:rPr>
                  <m:nor/>
                  <m:sty m:val="p"/>
                </m:rPr>
                <w:rPr>
                  <w:rFonts w:hint="default" w:ascii="Times New Roman" w:hAnsi="Times New Roman" w:eastAsia="宋体" w:cs="Times New Roman"/>
                  <w:b w:val="0"/>
                  <w:bCs w:val="0"/>
                  <w:i w:val="0"/>
                  <w:sz w:val="22"/>
                </w:rPr>
                <m:t>=10)</m:t>
              </m:r>
              <m:r>
                <m:rPr>
                  <m:sty m:val="p"/>
                </m:rPr>
                <w:rPr>
                  <w:rFonts w:hint="default" w:ascii="Cambria Math" w:hAnsi="Cambria Math" w:eastAsia="宋体" w:cs="Times New Roman"/>
                  <w:color w:val="000000"/>
                  <w:sz w:val="22"/>
                  <w:lang w:val="en-US" w:eastAsia="zh-CN"/>
                </w:rPr>
                <m:t>#</m:t>
              </m:r>
              <m:r>
                <m:rPr>
                  <m:nor/>
                  <m:sty m:val="p"/>
                </m:rPr>
                <w:rPr>
                  <w:rFonts w:hint="default" w:ascii="Times New Roman" w:hAnsi="Times New Roman" w:eastAsia="宋体" w:cs="Times New Roman"/>
                  <w:b w:val="0"/>
                  <w:bCs w:val="0"/>
                  <w:i w:val="0"/>
                  <w:color w:val="000000"/>
                  <w:sz w:val="22"/>
                  <w:lang w:val="en-US" w:eastAsia="zh-CN"/>
                </w:rPr>
                <m:t>(2−2)</m:t>
              </m:r>
              <m:ctrlPr>
                <m:rPr/>
                <w:rPr>
                  <w:rFonts w:hint="default" w:ascii="Cambria Math" w:hAnsi="Cambria Math" w:cs="Times New Roman"/>
                  <w:b w:val="0"/>
                  <w:bCs w:val="0"/>
                  <w:i w:val="0"/>
                  <w:color w:val="000000"/>
                  <w:sz w:val="22"/>
                  <w:lang w:val="en-US" w:eastAsia="zh-CN"/>
                </w:rPr>
              </m:ctrlPr>
            </m:e>
          </m:eqArr>
        </m:oMath>
      </m:oMathPara>
    </w:p>
    <w:p w14:paraId="693EBA9F">
      <w:pPr>
        <w:spacing w:after="0" w:line="300" w:lineRule="auto"/>
        <w:ind w:firstLine="420"/>
        <w:jc w:val="both"/>
        <w:rPr>
          <w:b w:val="0"/>
          <w:bCs w:val="0"/>
        </w:rPr>
      </w:pPr>
      <w:r>
        <w:rPr>
          <w:rFonts w:ascii="Times New Roman" w:hAnsi="Times New Roman" w:eastAsia="宋体"/>
          <w:b w:val="0"/>
          <w:bCs w:val="0"/>
          <w:color w:val="000000"/>
          <w:sz w:val="24"/>
        </w:rPr>
        <w:t>该标签设计意味着策略主要解决“买哪一只更强”，而不单独回答</w:t>
      </w:r>
      <w:r>
        <w:rPr>
          <w:rFonts w:hint="eastAsia"/>
          <w:b w:val="0"/>
          <w:bCs w:val="0"/>
          <w:color w:val="000000"/>
          <w:sz w:val="24"/>
          <w:lang w:eastAsia="zh-CN"/>
        </w:rPr>
        <w:t>“</w:t>
      </w:r>
      <w:r>
        <w:rPr>
          <w:rFonts w:ascii="Times New Roman" w:hAnsi="Times New Roman" w:eastAsia="宋体"/>
          <w:b w:val="0"/>
          <w:bCs w:val="0"/>
          <w:color w:val="000000"/>
          <w:sz w:val="24"/>
        </w:rPr>
        <w:t>当前是否应该持有权益资产</w:t>
      </w:r>
      <w:r>
        <w:rPr>
          <w:rFonts w:hint="eastAsia"/>
          <w:b w:val="0"/>
          <w:bCs w:val="0"/>
          <w:color w:val="000000"/>
          <w:sz w:val="24"/>
          <w:lang w:eastAsia="zh-CN"/>
        </w:rPr>
        <w:t>”</w:t>
      </w:r>
      <w:r>
        <w:rPr>
          <w:rFonts w:ascii="Times New Roman" w:hAnsi="Times New Roman" w:eastAsia="宋体"/>
          <w:b w:val="0"/>
          <w:bCs w:val="0"/>
          <w:color w:val="000000"/>
          <w:sz w:val="24"/>
        </w:rPr>
        <w:t>。因此，当整个ETF池处于下跌阶段时，模型即使能够识别相对跌幅较小的ETF，组合仍可能出现负的绝对收益。这一点也是解释最终独立测试结果的重要基础。</w:t>
      </w:r>
    </w:p>
    <w:p w14:paraId="15FF1976">
      <w:pPr>
        <w:pStyle w:val="4"/>
        <w:ind w:left="0" w:leftChars="0" w:firstLine="0" w:firstLineChars="0"/>
        <w:jc w:val="left"/>
        <w:rPr>
          <w:b w:val="0"/>
          <w:bCs w:val="0"/>
        </w:rPr>
      </w:pPr>
      <w:bookmarkStart w:id="8" w:name="_Toc24964"/>
      <w:r>
        <w:rPr>
          <w:rFonts w:ascii="Times New Roman" w:hAnsi="Times New Roman" w:eastAsia="黑体"/>
          <w:b w:val="0"/>
          <w:bCs w:val="0"/>
          <w:color w:val="000000"/>
          <w:sz w:val="24"/>
        </w:rPr>
        <w:t>2.3 特征体系与XGBoost模型</w:t>
      </w:r>
      <w:bookmarkEnd w:id="8"/>
    </w:p>
    <w:p w14:paraId="4D08DF84">
      <w:pPr>
        <w:spacing w:after="60" w:line="300" w:lineRule="auto"/>
        <w:ind w:firstLine="420"/>
        <w:jc w:val="both"/>
        <w:rPr>
          <w:b w:val="0"/>
          <w:bCs w:val="0"/>
        </w:rPr>
      </w:pPr>
      <w:r>
        <w:rPr>
          <w:rFonts w:ascii="Times New Roman" w:hAnsi="Times New Roman" w:eastAsia="宋体"/>
          <w:b w:val="0"/>
          <w:bCs w:val="0"/>
          <w:color w:val="000000"/>
          <w:sz w:val="22"/>
        </w:rPr>
        <w:t>核心预测模型采用极端梯度提升（eXtreme Gradient Boosting，XGBoost）。XGBoost属于梯度提升树模型，通过多棵较浅的回归树逐步修正前一轮模型未能解释的残差。</w:t>
      </w:r>
    </w:p>
    <w:p w14:paraId="2774124B">
      <w:pPr>
        <w:spacing w:after="60" w:line="300" w:lineRule="auto"/>
        <w:ind w:firstLine="420"/>
        <w:jc w:val="both"/>
        <w:rPr>
          <w:b w:val="0"/>
          <w:bCs w:val="0"/>
        </w:rPr>
      </w:pPr>
      <w:r>
        <w:rPr>
          <w:rFonts w:ascii="Times New Roman" w:hAnsi="Times New Roman" w:eastAsia="宋体"/>
          <w:b w:val="0"/>
          <w:bCs w:val="0"/>
          <w:color w:val="000000"/>
          <w:sz w:val="22"/>
        </w:rPr>
        <w:t>模型利用学习率、行采样、列采样以及L1/L2正则化控制复杂度</w:t>
      </w:r>
      <w:r>
        <w:rPr>
          <w:rFonts w:ascii="Times New Roman" w:hAnsi="Times New Roman" w:eastAsia="宋体"/>
          <w:b w:val="0"/>
          <w:bCs w:val="0"/>
          <w:color w:val="000000"/>
          <w:sz w:val="22"/>
          <w:vertAlign w:val="superscript"/>
        </w:rPr>
        <w:t>[2]</w:t>
      </w:r>
      <w:r>
        <w:rPr>
          <w:rFonts w:ascii="Times New Roman" w:hAnsi="Times New Roman" w:eastAsia="宋体"/>
          <w:b w:val="0"/>
          <w:bCs w:val="0"/>
          <w:color w:val="000000"/>
          <w:sz w:val="22"/>
        </w:rPr>
        <w:t>。对于ETF轮动这类样本量有限、特征之间可能存在阈值与交互关系的数据，树模型不要求变量与未来收益满足线性关系，也不需要预先为各指标设置固定权重。</w:t>
      </w:r>
    </w:p>
    <w:p w14:paraId="23E3389B">
      <w:pPr>
        <w:spacing w:after="0" w:line="300" w:lineRule="auto"/>
        <w:ind w:firstLine="420"/>
        <w:jc w:val="both"/>
        <w:rPr>
          <w:b w:val="0"/>
          <w:bCs w:val="0"/>
        </w:rPr>
      </w:pPr>
      <w:r>
        <w:rPr>
          <w:rFonts w:ascii="Times New Roman" w:hAnsi="Times New Roman" w:eastAsia="宋体"/>
          <w:b w:val="0"/>
          <w:bCs w:val="0"/>
          <w:color w:val="000000"/>
          <w:sz w:val="24"/>
        </w:rPr>
        <w:t>最终模型使用22个基础特征，分为动量、均线趋势、波动与回撤、技术状态、量价变化和横截面排名六类。相对强弱指标（Relative Strength Index，RSI）和指数平滑异同移动平均（Moving Average Convergence Divergence，MACD）均作为连续变量输入模型，而不设置</w:t>
      </w:r>
      <w:r>
        <w:rPr>
          <w:rFonts w:hint="eastAsia"/>
          <w:b w:val="0"/>
          <w:bCs w:val="0"/>
          <w:color w:val="000000"/>
          <w:sz w:val="24"/>
          <w:lang w:eastAsia="zh-CN"/>
        </w:rPr>
        <w:t>“</w:t>
      </w:r>
      <w:r>
        <w:rPr>
          <w:rFonts w:ascii="Times New Roman" w:hAnsi="Times New Roman" w:eastAsia="宋体"/>
          <w:b w:val="0"/>
          <w:bCs w:val="0"/>
          <w:color w:val="000000"/>
          <w:sz w:val="24"/>
        </w:rPr>
        <w:t>RSI低于30买入</w:t>
      </w:r>
      <w:r>
        <w:rPr>
          <w:rFonts w:hint="eastAsia"/>
          <w:b w:val="0"/>
          <w:bCs w:val="0"/>
          <w:color w:val="000000"/>
          <w:sz w:val="24"/>
          <w:lang w:eastAsia="zh-CN"/>
        </w:rPr>
        <w:t>”</w:t>
      </w:r>
      <w:r>
        <w:rPr>
          <w:rFonts w:ascii="Times New Roman" w:hAnsi="Times New Roman" w:eastAsia="宋体"/>
          <w:b w:val="0"/>
          <w:bCs w:val="0"/>
          <w:color w:val="000000"/>
          <w:sz w:val="24"/>
        </w:rPr>
        <w:t>等额外硬阈值。</w:t>
      </w:r>
    </w:p>
    <w:p w14:paraId="25B5A899">
      <w:pPr>
        <w:keepNext/>
        <w:spacing w:before="100" w:after="60"/>
        <w:jc w:val="center"/>
        <w:rPr>
          <w:b w:val="0"/>
          <w:bCs w:val="0"/>
        </w:rPr>
      </w:pPr>
      <w:r>
        <w:rPr>
          <w:rFonts w:ascii="Times New Roman" w:hAnsi="Times New Roman" w:eastAsia="宋体"/>
          <w:b w:val="0"/>
          <w:bCs w:val="0"/>
          <w:color w:val="000000"/>
          <w:sz w:val="21"/>
        </w:rPr>
        <w:t>表 2.2  XGBoost特征分类</w:t>
      </w:r>
    </w:p>
    <w:tbl>
      <w:tblPr>
        <w:tblStyle w:val="34"/>
        <w:tblW w:w="0" w:type="auto"/>
        <w:jc w:val="center"/>
        <w:tblLayout w:type="autofit"/>
        <w:tblCellMar>
          <w:top w:w="0" w:type="dxa"/>
          <w:left w:w="108" w:type="dxa"/>
          <w:bottom w:w="0" w:type="dxa"/>
          <w:right w:w="108" w:type="dxa"/>
        </w:tblCellMar>
      </w:tblPr>
      <w:tblGrid>
        <w:gridCol w:w="1700"/>
        <w:gridCol w:w="3401"/>
        <w:gridCol w:w="2948"/>
      </w:tblGrid>
      <w:tr w14:paraId="5EEC7741">
        <w:tblPrEx>
          <w:tblCellMar>
            <w:top w:w="0" w:type="dxa"/>
            <w:left w:w="108" w:type="dxa"/>
            <w:bottom w:w="0" w:type="dxa"/>
            <w:right w:w="108" w:type="dxa"/>
          </w:tblCellMar>
        </w:tblPrEx>
        <w:trPr>
          <w:cantSplit/>
          <w:jc w:val="center"/>
        </w:trPr>
        <w:tc>
          <w:tcPr>
            <w:tcW w:w="1700"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21AA9B7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类别</w:t>
            </w:r>
          </w:p>
        </w:tc>
        <w:tc>
          <w:tcPr>
            <w:tcW w:w="3401"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DAC1CC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代表特征</w:t>
            </w:r>
          </w:p>
        </w:tc>
        <w:tc>
          <w:tcPr>
            <w:tcW w:w="2948"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933788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主要作用</w:t>
            </w:r>
          </w:p>
        </w:tc>
      </w:tr>
      <w:tr w14:paraId="7DC577EE">
        <w:tblPrEx>
          <w:tblCellMar>
            <w:top w:w="0" w:type="dxa"/>
            <w:left w:w="108" w:type="dxa"/>
            <w:bottom w:w="0" w:type="dxa"/>
            <w:right w:w="108" w:type="dxa"/>
          </w:tblCellMar>
        </w:tblPrEx>
        <w:trPr>
          <w:cantSplit/>
          <w:jc w:val="center"/>
        </w:trPr>
        <w:tc>
          <w:tcPr>
            <w:tcW w:w="17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F90471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动量</w:t>
            </w:r>
          </w:p>
        </w:tc>
        <w:tc>
          <w:tcPr>
            <w:tcW w:w="3401"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BB8066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5/10/20/60/120日收益</w:t>
            </w:r>
          </w:p>
        </w:tc>
        <w:tc>
          <w:tcPr>
            <w:tcW w:w="2948"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2DA2E48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描述不同期限历史强弱</w:t>
            </w:r>
          </w:p>
        </w:tc>
      </w:tr>
      <w:tr w14:paraId="4ED98114">
        <w:tblPrEx>
          <w:tblCellMar>
            <w:top w:w="0" w:type="dxa"/>
            <w:left w:w="108" w:type="dxa"/>
            <w:bottom w:w="0" w:type="dxa"/>
            <w:right w:w="108" w:type="dxa"/>
          </w:tblCellMar>
        </w:tblPrEx>
        <w:trPr>
          <w:cantSplit/>
          <w:jc w:val="center"/>
        </w:trPr>
        <w:tc>
          <w:tcPr>
            <w:tcW w:w="1700" w:type="dxa"/>
            <w:tcBorders>
              <w:top w:val="nil"/>
              <w:left w:val="nil"/>
              <w:bottom w:val="nil"/>
              <w:right w:val="nil"/>
            </w:tcBorders>
            <w:shd w:val="clear" w:color="auto" w:fill="FFFFFF"/>
            <w:tcMar>
              <w:top w:w="60" w:type="dxa"/>
              <w:left w:w="80" w:type="dxa"/>
              <w:bottom w:w="60" w:type="dxa"/>
              <w:right w:w="80" w:type="dxa"/>
            </w:tcMar>
            <w:vAlign w:val="center"/>
          </w:tcPr>
          <w:p w14:paraId="6C016DD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均线趋势</w:t>
            </w:r>
          </w:p>
        </w:tc>
        <w:tc>
          <w:tcPr>
            <w:tcW w:w="3401" w:type="dxa"/>
            <w:tcBorders>
              <w:top w:val="nil"/>
              <w:left w:val="nil"/>
              <w:bottom w:val="nil"/>
              <w:right w:val="nil"/>
            </w:tcBorders>
            <w:shd w:val="clear" w:color="auto" w:fill="FFFFFF"/>
            <w:tcMar>
              <w:top w:w="60" w:type="dxa"/>
              <w:left w:w="80" w:type="dxa"/>
              <w:bottom w:w="60" w:type="dxa"/>
              <w:right w:w="80" w:type="dxa"/>
            </w:tcMar>
            <w:vAlign w:val="center"/>
          </w:tcPr>
          <w:p w14:paraId="42D3F92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20/60/120日均线偏离</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5E2213D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描述价格相对趋势位置</w:t>
            </w:r>
          </w:p>
        </w:tc>
      </w:tr>
      <w:tr w14:paraId="0C06ACDD">
        <w:tblPrEx>
          <w:tblCellMar>
            <w:top w:w="0" w:type="dxa"/>
            <w:left w:w="108" w:type="dxa"/>
            <w:bottom w:w="0" w:type="dxa"/>
            <w:right w:w="108" w:type="dxa"/>
          </w:tblCellMar>
        </w:tblPrEx>
        <w:trPr>
          <w:cantSplit/>
          <w:jc w:val="center"/>
        </w:trPr>
        <w:tc>
          <w:tcPr>
            <w:tcW w:w="1700" w:type="dxa"/>
            <w:tcBorders>
              <w:top w:val="nil"/>
              <w:left w:val="nil"/>
              <w:bottom w:val="nil"/>
              <w:right w:val="nil"/>
            </w:tcBorders>
            <w:shd w:val="clear" w:color="auto" w:fill="FFFFFF"/>
            <w:tcMar>
              <w:top w:w="60" w:type="dxa"/>
              <w:left w:w="80" w:type="dxa"/>
              <w:bottom w:w="60" w:type="dxa"/>
              <w:right w:w="80" w:type="dxa"/>
            </w:tcMar>
            <w:vAlign w:val="center"/>
          </w:tcPr>
          <w:p w14:paraId="37A8801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波动与回撤</w:t>
            </w:r>
          </w:p>
        </w:tc>
        <w:tc>
          <w:tcPr>
            <w:tcW w:w="3401" w:type="dxa"/>
            <w:tcBorders>
              <w:top w:val="nil"/>
              <w:left w:val="nil"/>
              <w:bottom w:val="nil"/>
              <w:right w:val="nil"/>
            </w:tcBorders>
            <w:shd w:val="clear" w:color="auto" w:fill="FFFFFF"/>
            <w:tcMar>
              <w:top w:w="60" w:type="dxa"/>
              <w:left w:w="80" w:type="dxa"/>
              <w:bottom w:w="60" w:type="dxa"/>
              <w:right w:w="80" w:type="dxa"/>
            </w:tcMar>
            <w:vAlign w:val="center"/>
          </w:tcPr>
          <w:p w14:paraId="73945DA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20/60日波动、60日最大回撤</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6171631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描述近期风险与下行压力</w:t>
            </w:r>
          </w:p>
        </w:tc>
      </w:tr>
      <w:tr w14:paraId="37DEDCF2">
        <w:tblPrEx>
          <w:tblCellMar>
            <w:top w:w="0" w:type="dxa"/>
            <w:left w:w="108" w:type="dxa"/>
            <w:bottom w:w="0" w:type="dxa"/>
            <w:right w:w="108" w:type="dxa"/>
          </w:tblCellMar>
        </w:tblPrEx>
        <w:trPr>
          <w:cantSplit/>
          <w:jc w:val="center"/>
        </w:trPr>
        <w:tc>
          <w:tcPr>
            <w:tcW w:w="1700" w:type="dxa"/>
            <w:tcBorders>
              <w:top w:val="nil"/>
              <w:left w:val="nil"/>
              <w:bottom w:val="nil"/>
              <w:right w:val="nil"/>
            </w:tcBorders>
            <w:shd w:val="clear" w:color="auto" w:fill="FFFFFF"/>
            <w:tcMar>
              <w:top w:w="60" w:type="dxa"/>
              <w:left w:w="80" w:type="dxa"/>
              <w:bottom w:w="60" w:type="dxa"/>
              <w:right w:w="80" w:type="dxa"/>
            </w:tcMar>
            <w:vAlign w:val="center"/>
          </w:tcPr>
          <w:p w14:paraId="2613D97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技术状态</w:t>
            </w:r>
          </w:p>
        </w:tc>
        <w:tc>
          <w:tcPr>
            <w:tcW w:w="3401" w:type="dxa"/>
            <w:tcBorders>
              <w:top w:val="nil"/>
              <w:left w:val="nil"/>
              <w:bottom w:val="nil"/>
              <w:right w:val="nil"/>
            </w:tcBorders>
            <w:shd w:val="clear" w:color="auto" w:fill="FFFFFF"/>
            <w:tcMar>
              <w:top w:w="60" w:type="dxa"/>
              <w:left w:w="80" w:type="dxa"/>
              <w:bottom w:w="60" w:type="dxa"/>
              <w:right w:w="80" w:type="dxa"/>
            </w:tcMar>
            <w:vAlign w:val="center"/>
          </w:tcPr>
          <w:p w14:paraId="0069879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14日RSI、MACD相对值</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6032532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描述超买超卖与趋势变化</w:t>
            </w:r>
          </w:p>
        </w:tc>
      </w:tr>
      <w:tr w14:paraId="47389732">
        <w:tblPrEx>
          <w:tblCellMar>
            <w:top w:w="0" w:type="dxa"/>
            <w:left w:w="108" w:type="dxa"/>
            <w:bottom w:w="0" w:type="dxa"/>
            <w:right w:w="108" w:type="dxa"/>
          </w:tblCellMar>
        </w:tblPrEx>
        <w:trPr>
          <w:cantSplit/>
          <w:jc w:val="center"/>
        </w:trPr>
        <w:tc>
          <w:tcPr>
            <w:tcW w:w="1700" w:type="dxa"/>
            <w:tcBorders>
              <w:top w:val="nil"/>
              <w:left w:val="nil"/>
              <w:bottom w:val="nil"/>
              <w:right w:val="nil"/>
            </w:tcBorders>
            <w:shd w:val="clear" w:color="auto" w:fill="FFFFFF"/>
            <w:tcMar>
              <w:top w:w="60" w:type="dxa"/>
              <w:left w:w="80" w:type="dxa"/>
              <w:bottom w:w="60" w:type="dxa"/>
              <w:right w:w="80" w:type="dxa"/>
            </w:tcMar>
            <w:vAlign w:val="center"/>
          </w:tcPr>
          <w:p w14:paraId="29C1C27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量价</w:t>
            </w:r>
          </w:p>
        </w:tc>
        <w:tc>
          <w:tcPr>
            <w:tcW w:w="3401" w:type="dxa"/>
            <w:tcBorders>
              <w:top w:val="nil"/>
              <w:left w:val="nil"/>
              <w:bottom w:val="nil"/>
              <w:right w:val="nil"/>
            </w:tcBorders>
            <w:shd w:val="clear" w:color="auto" w:fill="FFFFFF"/>
            <w:tcMar>
              <w:top w:w="60" w:type="dxa"/>
              <w:left w:w="80" w:type="dxa"/>
              <w:bottom w:w="60" w:type="dxa"/>
              <w:right w:w="80" w:type="dxa"/>
            </w:tcMar>
            <w:vAlign w:val="center"/>
          </w:tcPr>
          <w:p w14:paraId="533C2B6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成交量、成交额及20日变化</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4817F57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描述交易活跃度变化</w:t>
            </w:r>
          </w:p>
        </w:tc>
      </w:tr>
      <w:tr w14:paraId="39CFA27B">
        <w:tblPrEx>
          <w:tblCellMar>
            <w:top w:w="0" w:type="dxa"/>
            <w:left w:w="108" w:type="dxa"/>
            <w:bottom w:w="0" w:type="dxa"/>
            <w:right w:w="108" w:type="dxa"/>
          </w:tblCellMar>
        </w:tblPrEx>
        <w:trPr>
          <w:cantSplit/>
          <w:jc w:val="center"/>
        </w:trPr>
        <w:tc>
          <w:tcPr>
            <w:tcW w:w="17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E436B3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横截面排名</w:t>
            </w:r>
          </w:p>
        </w:tc>
        <w:tc>
          <w:tcPr>
            <w:tcW w:w="3401"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425C40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收益、均线、波动、回撤Rank</w:t>
            </w:r>
          </w:p>
        </w:tc>
        <w:tc>
          <w:tcPr>
            <w:tcW w:w="2948"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732FCC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描述同日10只ETF的相对位置</w:t>
            </w:r>
          </w:p>
        </w:tc>
      </w:tr>
    </w:tbl>
    <w:p w14:paraId="13F648AF">
      <w:pPr>
        <w:spacing w:after="0"/>
        <w:rPr>
          <w:b w:val="0"/>
          <w:bCs w:val="0"/>
        </w:rPr>
      </w:pPr>
    </w:p>
    <w:p w14:paraId="1C317BBE">
      <w:pPr>
        <w:pStyle w:val="4"/>
        <w:ind w:left="0" w:leftChars="0" w:firstLine="0" w:firstLineChars="0"/>
        <w:jc w:val="left"/>
        <w:rPr>
          <w:b w:val="0"/>
          <w:bCs w:val="0"/>
        </w:rPr>
      </w:pPr>
      <w:bookmarkStart w:id="9" w:name="_Toc30794"/>
      <w:r>
        <w:rPr>
          <w:rFonts w:ascii="Times New Roman" w:hAnsi="Times New Roman" w:eastAsia="黑体"/>
          <w:b w:val="0"/>
          <w:bCs w:val="0"/>
          <w:color w:val="000000"/>
          <w:sz w:val="24"/>
        </w:rPr>
        <w:t>2.4 周频训练与横截面排序</w:t>
      </w:r>
      <w:bookmarkEnd w:id="9"/>
    </w:p>
    <w:p w14:paraId="14CFC932">
      <w:pPr>
        <w:spacing w:after="0" w:line="300" w:lineRule="auto"/>
        <w:ind w:firstLine="420"/>
        <w:jc w:val="both"/>
        <w:rPr>
          <w:rFonts w:ascii="Times New Roman" w:hAnsi="Times New Roman" w:eastAsia="宋体"/>
          <w:b w:val="0"/>
          <w:bCs w:val="0"/>
          <w:color w:val="000000"/>
          <w:sz w:val="24"/>
        </w:rPr>
      </w:pPr>
      <w:r>
        <w:rPr>
          <w:rFonts w:ascii="Times New Roman" w:hAnsi="Times New Roman" w:eastAsia="宋体"/>
          <w:b w:val="0"/>
          <w:bCs w:val="0"/>
          <w:color w:val="000000"/>
          <w:sz w:val="24"/>
        </w:rPr>
        <w:t>策略每周在当周最后一个实际交易日收盘后生成一次信号。每次信号生成时，XGBoost均使用扩展窗口重新训练：历史样本可以不断增加，但只有未来20日标签已经完整实现的样本才能进入训练集。也就是说，某条历史记录虽然特征日期早于当前信号日，如果其20日未来收益尚未完全实现，仍不能用于训练。</w:t>
      </w:r>
    </w:p>
    <w:p w14:paraId="143C6C1F">
      <w:pPr>
        <w:spacing w:after="0" w:line="300" w:lineRule="auto"/>
        <w:ind w:firstLine="420"/>
        <w:jc w:val="both"/>
        <m:rPr/>
        <w:rPr>
          <w:rFonts w:hint="default" w:hAnsi="Times New Roman"/>
          <w:b w:val="0"/>
          <w:bCs w:val="0"/>
          <w:i w:val="0"/>
          <w:color w:val="000000"/>
          <w:sz w:val="24"/>
          <w:lang w:val="en-US" w:eastAsia="zh-CN"/>
        </w:rPr>
      </w:pPr>
      <m:oMathPara>
        <m:oMath>
          <m:eqArr>
            <m:eqArrPr>
              <m:maxDist m:val="1"/>
              <m:ctrlPr>
                <m:rPr/>
                <w:rPr>
                  <w:rFonts w:hint="default" w:ascii="Cambria Math" w:hAnsi="Cambria Math" w:cs="Times New Roman"/>
                  <w:b w:val="0"/>
                  <w:bCs w:val="0"/>
                  <w:i w:val="0"/>
                  <w:color w:val="000000"/>
                  <w:sz w:val="24"/>
                  <w:lang w:val="en-US" w:eastAsia="zh-CN"/>
                </w:rPr>
              </m:ctrlPr>
            </m:eqArrPr>
            <m:e>
              <m:r>
                <m:rPr>
                  <m:nor/>
                  <m:sty m:val="p"/>
                </m:rPr>
                <w:rPr>
                  <w:rFonts w:hint="default" w:ascii="Times New Roman" w:hAnsi="Times New Roman" w:eastAsia="宋体" w:cs="Times New Roman"/>
                  <w:b w:val="0"/>
                  <w:bCs w:val="0"/>
                  <w:i w:val="0"/>
                  <w:sz w:val="24"/>
                </w:rPr>
                <m:t>训练样本=历史样本</m:t>
              </m:r>
              <m:r>
                <m:rPr>
                  <m:nor/>
                  <m:sty m:val="p"/>
                </m:rPr>
                <w:rPr>
                  <w:rFonts w:hint="eastAsia" w:ascii="Cambria Math" w:hAnsi="Cambria Math" w:cs="Times New Roman"/>
                  <w:b w:val="0"/>
                  <w:bCs w:val="0"/>
                  <w:i w:val="0"/>
                  <w:sz w:val="24"/>
                  <w:lang w:val="en-US" w:eastAsia="zh-CN"/>
                </w:rPr>
                <m:t>/</m:t>
              </m:r>
              <m:r>
                <m:rPr>
                  <m:nor/>
                  <m:sty m:val="p"/>
                </m:rPr>
                <w:rPr>
                  <w:rFonts w:hint="default" w:ascii="Times New Roman" w:hAnsi="Times New Roman" w:eastAsia="宋体" w:cs="Times New Roman"/>
                  <w:b w:val="0"/>
                  <w:bCs w:val="0"/>
                  <w:i w:val="0"/>
                  <w:sz w:val="24"/>
                </w:rPr>
                <m:t>标签完全实现日期&lt;当前信号日</m:t>
              </m:r>
              <m:r>
                <m:rPr>
                  <m:sty m:val="p"/>
                </m:rPr>
                <w:rPr>
                  <w:rFonts w:hint="default" w:ascii="Cambria Math" w:hAnsi="Cambria Math" w:eastAsia="宋体" w:cs="Times New Roman"/>
                  <w:color w:val="000000"/>
                  <w:sz w:val="24"/>
                  <w:lang w:val="en-US" w:eastAsia="zh-CN"/>
                </w:rPr>
                <m:t>#</m:t>
              </m:r>
              <m:r>
                <m:rPr>
                  <m:nor/>
                  <m:sty m:val="p"/>
                </m:rPr>
                <w:rPr>
                  <w:rFonts w:hint="default" w:ascii="Times New Roman" w:hAnsi="Times New Roman" w:eastAsia="宋体" w:cs="Times New Roman"/>
                  <w:b w:val="0"/>
                  <w:bCs w:val="0"/>
                  <w:i w:val="0"/>
                  <w:color w:val="000000"/>
                  <w:sz w:val="24"/>
                  <w:lang w:val="en-US" w:eastAsia="zh-CN"/>
                </w:rPr>
                <m:t>(2−3)</m:t>
              </m:r>
              <m:ctrlPr>
                <m:rPr/>
                <w:rPr>
                  <w:rFonts w:hint="default" w:ascii="Cambria Math" w:hAnsi="Cambria Math" w:cs="Times New Roman"/>
                  <w:b w:val="0"/>
                  <w:bCs w:val="0"/>
                  <w:i w:val="0"/>
                  <w:color w:val="000000"/>
                  <w:sz w:val="24"/>
                  <w:lang w:val="en-US" w:eastAsia="zh-CN"/>
                </w:rPr>
              </m:ctrlPr>
            </m:e>
          </m:eqArr>
        </m:oMath>
      </m:oMathPara>
    </w:p>
    <w:p w14:paraId="40989C4F">
      <w:pPr>
        <w:spacing w:after="0" w:line="300" w:lineRule="auto"/>
        <w:ind w:firstLine="420"/>
        <w:jc w:val="both"/>
        <w:rPr>
          <w:b w:val="0"/>
          <w:bCs w:val="0"/>
        </w:rPr>
      </w:pPr>
      <w:r>
        <w:rPr>
          <w:rFonts w:ascii="Times New Roman" w:hAnsi="Times New Roman" w:eastAsia="宋体"/>
          <w:b w:val="0"/>
          <w:bCs w:val="0"/>
          <w:color w:val="000000"/>
          <w:sz w:val="24"/>
        </w:rPr>
        <w:t>模型训练完成后，对当周10只ETF分别输出预测分数，并按分数从高到低排序。该预测值只用于横截面排序，不解释为经过校准的未来收益率。这样可以减少对预测数值绝对大小的依赖，使模型任务与</w:t>
      </w:r>
      <w:r>
        <w:rPr>
          <w:rFonts w:hint="eastAsia"/>
          <w:b w:val="0"/>
          <w:bCs w:val="0"/>
          <w:color w:val="000000"/>
          <w:sz w:val="24"/>
          <w:lang w:eastAsia="zh-CN"/>
        </w:rPr>
        <w:t>“</w:t>
      </w:r>
      <w:r>
        <w:rPr>
          <w:rFonts w:ascii="Times New Roman" w:hAnsi="Times New Roman" w:eastAsia="宋体"/>
          <w:b w:val="0"/>
          <w:bCs w:val="0"/>
          <w:color w:val="000000"/>
          <w:sz w:val="24"/>
        </w:rPr>
        <w:t>10选3</w:t>
      </w:r>
      <w:r>
        <w:rPr>
          <w:rFonts w:hint="eastAsia"/>
          <w:b w:val="0"/>
          <w:bCs w:val="0"/>
          <w:color w:val="000000"/>
          <w:sz w:val="24"/>
          <w:lang w:eastAsia="zh-CN"/>
        </w:rPr>
        <w:t>”</w:t>
      </w:r>
      <w:r>
        <w:rPr>
          <w:rFonts w:ascii="Times New Roman" w:hAnsi="Times New Roman" w:eastAsia="宋体"/>
          <w:b w:val="0"/>
          <w:bCs w:val="0"/>
          <w:color w:val="000000"/>
          <w:sz w:val="24"/>
        </w:rPr>
        <w:t>的组合目标保持一致。</w:t>
      </w:r>
    </w:p>
    <w:p w14:paraId="2AA1DEB6">
      <w:pPr>
        <w:pStyle w:val="4"/>
        <w:ind w:left="0" w:leftChars="0" w:firstLine="0" w:firstLineChars="0"/>
        <w:jc w:val="left"/>
        <w:rPr>
          <w:b w:val="0"/>
          <w:bCs w:val="0"/>
        </w:rPr>
      </w:pPr>
      <w:bookmarkStart w:id="10" w:name="_Toc761"/>
      <w:r>
        <w:rPr>
          <w:rFonts w:ascii="Times New Roman" w:hAnsi="Times New Roman" w:eastAsia="黑体"/>
          <w:b w:val="0"/>
          <w:bCs w:val="0"/>
          <w:color w:val="000000"/>
          <w:sz w:val="24"/>
        </w:rPr>
        <w:t>2.5 持仓缓冲与权重分配</w:t>
      </w:r>
      <w:bookmarkEnd w:id="10"/>
    </w:p>
    <w:p w14:paraId="7998E8C2">
      <w:pPr>
        <w:spacing w:after="0" w:line="300" w:lineRule="auto"/>
        <w:ind w:firstLine="420"/>
        <w:jc w:val="both"/>
        <w:rPr>
          <w:b w:val="0"/>
          <w:bCs w:val="0"/>
        </w:rPr>
      </w:pPr>
      <w:r>
        <w:rPr>
          <w:rFonts w:ascii="Times New Roman" w:hAnsi="Times New Roman" w:eastAsia="宋体"/>
          <w:b w:val="0"/>
          <w:bCs w:val="0"/>
          <w:color w:val="000000"/>
          <w:sz w:val="24"/>
        </w:rPr>
        <w:t>若每周机械持有最新排名前三的ETF，第3名与第4名之间的轻微波动会频繁触发换仓。为降低这种边界噪声，最终组合采用</w:t>
      </w:r>
      <w:r>
        <w:rPr>
          <w:rFonts w:hint="eastAsia"/>
          <w:b w:val="0"/>
          <w:bCs w:val="0"/>
          <w:color w:val="000000"/>
          <w:sz w:val="24"/>
          <w:lang w:eastAsia="zh-CN"/>
        </w:rPr>
        <w:t>“</w:t>
      </w:r>
      <w:r>
        <w:rPr>
          <w:rFonts w:ascii="Times New Roman" w:hAnsi="Times New Roman" w:eastAsia="宋体"/>
          <w:b w:val="0"/>
          <w:bCs w:val="0"/>
          <w:color w:val="000000"/>
          <w:sz w:val="24"/>
        </w:rPr>
        <w:t>Top3进入、Top4保留</w:t>
      </w:r>
      <w:r>
        <w:rPr>
          <w:rFonts w:hint="eastAsia"/>
          <w:b w:val="0"/>
          <w:bCs w:val="0"/>
          <w:color w:val="000000"/>
          <w:sz w:val="24"/>
          <w:lang w:eastAsia="zh-CN"/>
        </w:rPr>
        <w:t>”</w:t>
      </w:r>
      <w:r>
        <w:rPr>
          <w:rFonts w:ascii="Times New Roman" w:hAnsi="Times New Roman" w:eastAsia="宋体"/>
          <w:b w:val="0"/>
          <w:bCs w:val="0"/>
          <w:color w:val="000000"/>
          <w:sz w:val="24"/>
        </w:rPr>
        <w:t>的持仓缓冲机制：新的ETF只有进入当周前三名才能进入组合；已经持有的ETF只要仍处于前四名，就允许继续持有。为便于后文表述，本文将这一规则简称为H4缓冲。</w:t>
      </w:r>
    </w:p>
    <w:p w14:paraId="719124A4">
      <w:pPr>
        <w:spacing w:after="0" w:line="300" w:lineRule="auto"/>
        <w:ind w:firstLine="420"/>
        <w:jc w:val="both"/>
        <w:rPr>
          <w:rFonts w:ascii="Times New Roman" w:hAnsi="Times New Roman" w:eastAsia="宋体"/>
          <w:b w:val="0"/>
          <w:bCs w:val="0"/>
          <w:color w:val="000000"/>
          <w:sz w:val="24"/>
        </w:rPr>
      </w:pPr>
      <w:r>
        <w:rPr>
          <w:rFonts w:ascii="Times New Roman" w:hAnsi="Times New Roman" w:eastAsia="宋体"/>
          <w:b w:val="0"/>
          <w:bCs w:val="0"/>
          <w:color w:val="000000"/>
          <w:sz w:val="24"/>
        </w:rPr>
        <w:t>H4只决定组合成员，不直接决定权重。当持仓成员集合发生变化时，三只ETF根据过去20个交易日的年化波动率倒数分配权重。波动率越低，目标权重越高；波动率越高，目标权重越低。</w:t>
      </w:r>
    </w:p>
    <w:p w14:paraId="512C7D65">
      <w:pPr>
        <w:spacing w:after="0" w:line="300" w:lineRule="auto"/>
        <w:ind w:firstLine="420"/>
        <w:jc w:val="both"/>
        <m:rPr/>
        <w:rPr>
          <w:rFonts w:hint="default" w:hAnsi="Times New Roman"/>
          <w:b w:val="0"/>
          <w:bCs w:val="0"/>
          <w:i w:val="0"/>
          <w:color w:val="000000"/>
          <w:sz w:val="24"/>
          <w:lang w:val="en-US" w:eastAsia="zh-CN"/>
        </w:rPr>
      </w:pPr>
      <m:oMathPara>
        <m:oMath>
          <m:eqArr>
            <m:eqArrPr>
              <m:maxDist m:val="1"/>
              <m:ctrlPr>
                <m:rPr/>
                <w:rPr>
                  <w:rFonts w:hint="default" w:ascii="Cambria Math" w:hAnsi="Cambria Math" w:cs="Times New Roman"/>
                  <w:b w:val="0"/>
                  <w:bCs w:val="0"/>
                  <w:i w:val="0"/>
                  <w:color w:val="000000"/>
                  <w:sz w:val="24"/>
                  <w:lang w:val="en-US" w:eastAsia="zh-CN"/>
                </w:rPr>
              </m:ctrlPr>
            </m:eqArrPr>
            <m:e>
              <m:r>
                <m:rPr>
                  <m:nor/>
                </m:rPr>
                <w:rPr>
                  <w:rFonts w:hint="default" w:ascii="Times New Roman" w:hAnsi="Times New Roman" w:eastAsia="宋体" w:cs="Times New Roman"/>
                  <w:b w:val="0"/>
                  <w:bCs w:val="0"/>
                  <w:i/>
                  <w:sz w:val="24"/>
                </w:rPr>
                <m:t>w</m:t>
              </m:r>
              <m:r>
                <m:rPr>
                  <m:nor/>
                  <m:sty m:val="p"/>
                </m:rPr>
                <w:rPr>
                  <w:rFonts w:hint="default" w:ascii="Times New Roman" w:hAnsi="Times New Roman" w:eastAsia="宋体" w:cs="Times New Roman"/>
                  <w:b w:val="0"/>
                  <w:bCs w:val="0"/>
                  <w:i w:val="0"/>
                  <w:sz w:val="24"/>
                </w:rPr>
                <m:t>ᵢ=(1/</m:t>
              </m:r>
              <m:r>
                <m:rPr>
                  <m:nor/>
                </m:rPr>
                <w:rPr>
                  <w:rFonts w:hint="default" w:ascii="Times New Roman" w:hAnsi="Times New Roman" w:eastAsia="宋体" w:cs="Times New Roman"/>
                  <w:b w:val="0"/>
                  <w:bCs w:val="0"/>
                  <w:i/>
                  <w:sz w:val="24"/>
                </w:rPr>
                <m:t>σ</m:t>
              </m:r>
              <m:r>
                <m:rPr>
                  <m:nor/>
                  <m:sty m:val="p"/>
                </m:rPr>
                <w:rPr>
                  <w:rFonts w:hint="default" w:ascii="Times New Roman" w:hAnsi="Times New Roman" w:eastAsia="宋体" w:cs="Times New Roman"/>
                  <w:b w:val="0"/>
                  <w:bCs w:val="0"/>
                  <w:i w:val="0"/>
                  <w:sz w:val="24"/>
                </w:rPr>
                <m:t>ᵢ,₂₀)/Σⱼ(1/</m:t>
              </m:r>
              <m:r>
                <m:rPr>
                  <m:nor/>
                </m:rPr>
                <w:rPr>
                  <w:rFonts w:hint="default" w:ascii="Times New Roman" w:hAnsi="Times New Roman" w:eastAsia="宋体" w:cs="Times New Roman"/>
                  <w:b w:val="0"/>
                  <w:bCs w:val="0"/>
                  <w:i/>
                  <w:sz w:val="24"/>
                </w:rPr>
                <m:t>σ</m:t>
              </m:r>
              <m:r>
                <m:rPr>
                  <m:nor/>
                  <m:sty m:val="p"/>
                </m:rPr>
                <w:rPr>
                  <w:rFonts w:hint="default" w:ascii="Times New Roman" w:hAnsi="Times New Roman" w:eastAsia="宋体" w:cs="Times New Roman"/>
                  <w:b w:val="0"/>
                  <w:bCs w:val="0"/>
                  <w:i w:val="0"/>
                  <w:sz w:val="24"/>
                </w:rPr>
                <m:t>ⱼ,₂₀)</m:t>
              </m:r>
              <m:r>
                <m:rPr>
                  <m:sty m:val="p"/>
                </m:rPr>
                <w:rPr>
                  <w:rFonts w:hint="default" w:ascii="Cambria Math" w:hAnsi="Cambria Math" w:eastAsia="宋体" w:cs="Times New Roman"/>
                  <w:color w:val="000000"/>
                  <w:sz w:val="24"/>
                  <w:lang w:val="en-US" w:eastAsia="zh-CN"/>
                </w:rPr>
                <m:t>#</m:t>
              </m:r>
              <m:r>
                <m:rPr>
                  <m:nor/>
                  <m:sty m:val="p"/>
                </m:rPr>
                <w:rPr>
                  <w:rFonts w:hint="default" w:ascii="Times New Roman" w:hAnsi="Times New Roman" w:eastAsia="宋体" w:cs="Times New Roman"/>
                  <w:b w:val="0"/>
                  <w:bCs w:val="0"/>
                  <w:i w:val="0"/>
                  <w:color w:val="000000"/>
                  <w:sz w:val="24"/>
                  <w:lang w:val="en-US" w:eastAsia="zh-CN"/>
                </w:rPr>
                <m:t>(2−4)</m:t>
              </m:r>
              <m:ctrlPr>
                <m:rPr/>
                <w:rPr>
                  <w:rFonts w:hint="default" w:ascii="Cambria Math" w:hAnsi="Cambria Math" w:cs="Times New Roman"/>
                  <w:b w:val="0"/>
                  <w:bCs w:val="0"/>
                  <w:i w:val="0"/>
                  <w:color w:val="000000"/>
                  <w:sz w:val="24"/>
                  <w:lang w:val="en-US" w:eastAsia="zh-CN"/>
                </w:rPr>
              </m:ctrlPr>
            </m:e>
          </m:eqArr>
        </m:oMath>
      </m:oMathPara>
    </w:p>
    <w:p w14:paraId="1E4241A6">
      <w:pPr>
        <w:spacing w:after="0" w:line="300" w:lineRule="auto"/>
        <w:ind w:firstLine="420"/>
        <w:jc w:val="both"/>
        <w:rPr>
          <w:b w:val="0"/>
          <w:bCs w:val="0"/>
        </w:rPr>
      </w:pPr>
      <w:r>
        <w:rPr>
          <w:rFonts w:ascii="Times New Roman" w:hAnsi="Times New Roman" w:eastAsia="宋体"/>
          <w:b w:val="0"/>
          <w:bCs w:val="0"/>
          <w:color w:val="000000"/>
          <w:sz w:val="24"/>
        </w:rPr>
        <w:t>如果某一周H4判断持仓成员没有变化，则组合不主动重新平衡到新的逆波动目标权重，而是允许现有权重随价格自然漂移。这样既保留了持仓缓冲的换手控制作用，也避免在成员未发生变化时产生额外交易成本。</w:t>
      </w:r>
    </w:p>
    <w:p w14:paraId="46B9E8DD">
      <w:pPr>
        <w:pStyle w:val="4"/>
        <w:ind w:left="0" w:leftChars="0" w:firstLine="0" w:firstLineChars="0"/>
        <w:jc w:val="left"/>
        <w:rPr>
          <w:b w:val="0"/>
          <w:bCs w:val="0"/>
        </w:rPr>
      </w:pPr>
      <w:bookmarkStart w:id="11" w:name="_Toc4821"/>
      <w:r>
        <w:rPr>
          <w:rFonts w:ascii="Times New Roman" w:hAnsi="Times New Roman" w:eastAsia="黑体"/>
          <w:b w:val="0"/>
          <w:bCs w:val="0"/>
          <w:color w:val="000000"/>
          <w:sz w:val="24"/>
        </w:rPr>
        <w:t>2.6 调仓执行与交易成本</w:t>
      </w:r>
      <w:bookmarkEnd w:id="11"/>
    </w:p>
    <w:p w14:paraId="60773388">
      <w:pPr>
        <w:spacing w:after="0" w:line="300" w:lineRule="auto"/>
        <w:ind w:firstLine="420"/>
        <w:jc w:val="both"/>
        <w:rPr>
          <w:b w:val="0"/>
          <w:bCs w:val="0"/>
        </w:rPr>
      </w:pPr>
      <w:r>
        <w:rPr>
          <w:rFonts w:ascii="Times New Roman" w:hAnsi="Times New Roman" w:eastAsia="宋体"/>
          <w:b w:val="0"/>
          <w:bCs w:val="0"/>
          <w:color w:val="000000"/>
          <w:sz w:val="24"/>
        </w:rPr>
        <w:t>信号在周度信号日收盘后生成，若H4判断成员变化，则在下一交易日开盘执行调仓。交易成本统一按单边0.05%计提，并乘以目标权重与调仓前实际权重绝对差之和。这里的绝对差之和相当于L1换手度量，能够同时反映买入和卖出的组合调整幅度。</w:t>
      </w:r>
    </w:p>
    <w:p w14:paraId="1E522A02">
      <w:pPr>
        <w:spacing w:after="0" w:line="300" w:lineRule="auto"/>
        <w:ind w:firstLine="420"/>
        <w:jc w:val="both"/>
        <w:rPr>
          <w:b w:val="0"/>
          <w:bCs w:val="0"/>
        </w:rPr>
      </w:pPr>
      <w:r>
        <w:rPr>
          <w:rFonts w:ascii="Times New Roman" w:hAnsi="Times New Roman" w:eastAsia="宋体"/>
          <w:b w:val="0"/>
          <w:bCs w:val="0"/>
          <w:color w:val="000000"/>
          <w:sz w:val="24"/>
        </w:rPr>
        <w:t>因此，最终策略的顺序为：周末前最后交易日收盘后更新特征和模型→对10只ETF排序→依据Top3进入/Top4保留确定三只持仓→若成员变化则计算20日逆波动率权重→下一交易日开盘执行并扣除成本。该流程在开发期和最终独立测试期保持一致。</w:t>
      </w:r>
    </w:p>
    <w:p w14:paraId="6E0FEB73">
      <w:pPr>
        <w:pStyle w:val="4"/>
        <w:ind w:left="0" w:leftChars="0" w:firstLine="0" w:firstLineChars="0"/>
        <w:jc w:val="left"/>
        <w:rPr>
          <w:b w:val="0"/>
          <w:bCs w:val="0"/>
        </w:rPr>
      </w:pPr>
      <w:bookmarkStart w:id="12" w:name="_Toc15544"/>
      <w:r>
        <w:rPr>
          <w:rFonts w:ascii="Times New Roman" w:hAnsi="Times New Roman" w:eastAsia="黑体"/>
          <w:b w:val="0"/>
          <w:bCs w:val="0"/>
          <w:color w:val="000000"/>
          <w:sz w:val="24"/>
        </w:rPr>
        <w:t>2.7 最终策略规则汇总</w:t>
      </w:r>
      <w:bookmarkEnd w:id="12"/>
    </w:p>
    <w:p w14:paraId="4D37661C">
      <w:pPr>
        <w:keepNext/>
        <w:spacing w:before="100" w:after="60"/>
        <w:jc w:val="center"/>
        <w:rPr>
          <w:b w:val="0"/>
          <w:bCs w:val="0"/>
        </w:rPr>
      </w:pPr>
      <w:r>
        <w:rPr>
          <w:rFonts w:ascii="Times New Roman" w:hAnsi="Times New Roman" w:eastAsia="宋体"/>
          <w:b w:val="0"/>
          <w:bCs w:val="0"/>
          <w:color w:val="000000"/>
          <w:sz w:val="21"/>
        </w:rPr>
        <w:t>表 2.3  最终策略规则</w:t>
      </w:r>
    </w:p>
    <w:tbl>
      <w:tblPr>
        <w:tblStyle w:val="34"/>
        <w:tblW w:w="0" w:type="auto"/>
        <w:jc w:val="center"/>
        <w:tblLayout w:type="autofit"/>
        <w:tblCellMar>
          <w:top w:w="0" w:type="dxa"/>
          <w:left w:w="108" w:type="dxa"/>
          <w:bottom w:w="0" w:type="dxa"/>
          <w:right w:w="108" w:type="dxa"/>
        </w:tblCellMar>
      </w:tblPr>
      <w:tblGrid>
        <w:gridCol w:w="1757"/>
        <w:gridCol w:w="3741"/>
        <w:gridCol w:w="2948"/>
      </w:tblGrid>
      <w:tr w14:paraId="04EF4D99">
        <w:tblPrEx>
          <w:tblCellMar>
            <w:top w:w="0" w:type="dxa"/>
            <w:left w:w="108" w:type="dxa"/>
            <w:bottom w:w="0" w:type="dxa"/>
            <w:right w:w="108" w:type="dxa"/>
          </w:tblCellMar>
        </w:tblPrEx>
        <w:trPr>
          <w:cantSplit/>
          <w:jc w:val="center"/>
        </w:trPr>
        <w:tc>
          <w:tcPr>
            <w:tcW w:w="1757"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259B5EB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模块</w:t>
            </w:r>
          </w:p>
        </w:tc>
        <w:tc>
          <w:tcPr>
            <w:tcW w:w="3741"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1B1F3FF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最终设定</w:t>
            </w:r>
          </w:p>
        </w:tc>
        <w:tc>
          <w:tcPr>
            <w:tcW w:w="2948"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52EBE0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说明</w:t>
            </w:r>
          </w:p>
        </w:tc>
      </w:tr>
      <w:tr w14:paraId="498B503C">
        <w:tblPrEx>
          <w:tblCellMar>
            <w:top w:w="0" w:type="dxa"/>
            <w:left w:w="108" w:type="dxa"/>
            <w:bottom w:w="0" w:type="dxa"/>
            <w:right w:w="108" w:type="dxa"/>
          </w:tblCellMar>
        </w:tblPrEx>
        <w:trPr>
          <w:cantSplit/>
          <w:jc w:val="center"/>
        </w:trPr>
        <w:tc>
          <w:tcPr>
            <w:tcW w:w="175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0F1385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预测对象</w:t>
            </w:r>
          </w:p>
        </w:tc>
        <w:tc>
          <w:tcPr>
            <w:tcW w:w="3741"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26ECDD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未来20个交易日横截面相对收益</w:t>
            </w:r>
          </w:p>
        </w:tc>
        <w:tc>
          <w:tcPr>
            <w:tcW w:w="2948"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E1AC6E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用于ETF间相对排序</w:t>
            </w:r>
          </w:p>
        </w:tc>
      </w:tr>
      <w:tr w14:paraId="57A79B10">
        <w:tblPrEx>
          <w:tblCellMar>
            <w:top w:w="0" w:type="dxa"/>
            <w:left w:w="108" w:type="dxa"/>
            <w:bottom w:w="0" w:type="dxa"/>
            <w:right w:w="108" w:type="dxa"/>
          </w:tblCellMar>
        </w:tblPrEx>
        <w:trPr>
          <w:cantSplit/>
          <w:jc w:val="center"/>
        </w:trPr>
        <w:tc>
          <w:tcPr>
            <w:tcW w:w="1757" w:type="dxa"/>
            <w:tcBorders>
              <w:top w:val="nil"/>
              <w:left w:val="nil"/>
              <w:bottom w:val="nil"/>
              <w:right w:val="nil"/>
            </w:tcBorders>
            <w:shd w:val="clear" w:color="auto" w:fill="FFFFFF"/>
            <w:tcMar>
              <w:top w:w="60" w:type="dxa"/>
              <w:left w:w="80" w:type="dxa"/>
              <w:bottom w:w="60" w:type="dxa"/>
              <w:right w:w="80" w:type="dxa"/>
            </w:tcMar>
            <w:vAlign w:val="center"/>
          </w:tcPr>
          <w:p w14:paraId="37FCACE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预测模型</w:t>
            </w:r>
          </w:p>
        </w:tc>
        <w:tc>
          <w:tcPr>
            <w:tcW w:w="3741" w:type="dxa"/>
            <w:tcBorders>
              <w:top w:val="nil"/>
              <w:left w:val="nil"/>
              <w:bottom w:val="nil"/>
              <w:right w:val="nil"/>
            </w:tcBorders>
            <w:shd w:val="clear" w:color="auto" w:fill="FFFFFF"/>
            <w:tcMar>
              <w:top w:w="60" w:type="dxa"/>
              <w:left w:w="80" w:type="dxa"/>
              <w:bottom w:w="60" w:type="dxa"/>
              <w:right w:w="80" w:type="dxa"/>
            </w:tcMar>
            <w:vAlign w:val="center"/>
          </w:tcPr>
          <w:p w14:paraId="6F3806E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XGBoost，22个基础特征</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2648177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每周扩展窗口重新训练</w:t>
            </w:r>
          </w:p>
        </w:tc>
      </w:tr>
      <w:tr w14:paraId="641470CE">
        <w:tblPrEx>
          <w:tblCellMar>
            <w:top w:w="0" w:type="dxa"/>
            <w:left w:w="108" w:type="dxa"/>
            <w:bottom w:w="0" w:type="dxa"/>
            <w:right w:w="108" w:type="dxa"/>
          </w:tblCellMar>
        </w:tblPrEx>
        <w:trPr>
          <w:cantSplit/>
          <w:jc w:val="center"/>
        </w:trPr>
        <w:tc>
          <w:tcPr>
            <w:tcW w:w="1757" w:type="dxa"/>
            <w:tcBorders>
              <w:top w:val="nil"/>
              <w:left w:val="nil"/>
              <w:bottom w:val="nil"/>
              <w:right w:val="nil"/>
            </w:tcBorders>
            <w:shd w:val="clear" w:color="auto" w:fill="FFFFFF"/>
            <w:tcMar>
              <w:top w:w="60" w:type="dxa"/>
              <w:left w:w="80" w:type="dxa"/>
              <w:bottom w:w="60" w:type="dxa"/>
              <w:right w:w="80" w:type="dxa"/>
            </w:tcMar>
            <w:vAlign w:val="center"/>
          </w:tcPr>
          <w:p w14:paraId="457631C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训练约束</w:t>
            </w:r>
          </w:p>
        </w:tc>
        <w:tc>
          <w:tcPr>
            <w:tcW w:w="3741" w:type="dxa"/>
            <w:tcBorders>
              <w:top w:val="nil"/>
              <w:left w:val="nil"/>
              <w:bottom w:val="nil"/>
              <w:right w:val="nil"/>
            </w:tcBorders>
            <w:shd w:val="clear" w:color="auto" w:fill="FFFFFF"/>
            <w:tcMar>
              <w:top w:w="60" w:type="dxa"/>
              <w:left w:w="80" w:type="dxa"/>
              <w:bottom w:w="60" w:type="dxa"/>
              <w:right w:w="80" w:type="dxa"/>
            </w:tcMar>
            <w:vAlign w:val="center"/>
          </w:tcPr>
          <w:p w14:paraId="72C2E9C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仅使用标签已完整实现的历史样本</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7FB9648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避免未来20日标签泄露</w:t>
            </w:r>
          </w:p>
        </w:tc>
      </w:tr>
      <w:tr w14:paraId="413DFBCE">
        <w:tblPrEx>
          <w:tblCellMar>
            <w:top w:w="0" w:type="dxa"/>
            <w:left w:w="108" w:type="dxa"/>
            <w:bottom w:w="0" w:type="dxa"/>
            <w:right w:w="108" w:type="dxa"/>
          </w:tblCellMar>
        </w:tblPrEx>
        <w:trPr>
          <w:cantSplit/>
          <w:jc w:val="center"/>
        </w:trPr>
        <w:tc>
          <w:tcPr>
            <w:tcW w:w="1757" w:type="dxa"/>
            <w:tcBorders>
              <w:top w:val="nil"/>
              <w:left w:val="nil"/>
              <w:bottom w:val="nil"/>
              <w:right w:val="nil"/>
            </w:tcBorders>
            <w:shd w:val="clear" w:color="auto" w:fill="FFFFFF"/>
            <w:tcMar>
              <w:top w:w="60" w:type="dxa"/>
              <w:left w:w="80" w:type="dxa"/>
              <w:bottom w:w="60" w:type="dxa"/>
              <w:right w:w="80" w:type="dxa"/>
            </w:tcMar>
            <w:vAlign w:val="center"/>
          </w:tcPr>
          <w:p w14:paraId="7EDCEE1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持仓规则</w:t>
            </w:r>
          </w:p>
        </w:tc>
        <w:tc>
          <w:tcPr>
            <w:tcW w:w="3741" w:type="dxa"/>
            <w:tcBorders>
              <w:top w:val="nil"/>
              <w:left w:val="nil"/>
              <w:bottom w:val="nil"/>
              <w:right w:val="nil"/>
            </w:tcBorders>
            <w:shd w:val="clear" w:color="auto" w:fill="FFFFFF"/>
            <w:tcMar>
              <w:top w:w="60" w:type="dxa"/>
              <w:left w:w="80" w:type="dxa"/>
              <w:bottom w:w="60" w:type="dxa"/>
              <w:right w:w="80" w:type="dxa"/>
            </w:tcMar>
            <w:vAlign w:val="center"/>
          </w:tcPr>
          <w:p w14:paraId="1E69558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Top3进入、Top4保留</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3C32B94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降低排名边界附近频繁换手</w:t>
            </w:r>
          </w:p>
        </w:tc>
      </w:tr>
      <w:tr w14:paraId="07FDEDE4">
        <w:tblPrEx>
          <w:tblCellMar>
            <w:top w:w="0" w:type="dxa"/>
            <w:left w:w="108" w:type="dxa"/>
            <w:bottom w:w="0" w:type="dxa"/>
            <w:right w:w="108" w:type="dxa"/>
          </w:tblCellMar>
        </w:tblPrEx>
        <w:trPr>
          <w:cantSplit/>
          <w:jc w:val="center"/>
        </w:trPr>
        <w:tc>
          <w:tcPr>
            <w:tcW w:w="1757" w:type="dxa"/>
            <w:tcBorders>
              <w:top w:val="nil"/>
              <w:left w:val="nil"/>
              <w:bottom w:val="nil"/>
              <w:right w:val="nil"/>
            </w:tcBorders>
            <w:shd w:val="clear" w:color="auto" w:fill="FFFFFF"/>
            <w:tcMar>
              <w:top w:w="60" w:type="dxa"/>
              <w:left w:w="80" w:type="dxa"/>
              <w:bottom w:w="60" w:type="dxa"/>
              <w:right w:w="80" w:type="dxa"/>
            </w:tcMar>
            <w:vAlign w:val="center"/>
          </w:tcPr>
          <w:p w14:paraId="4689A3F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组合数量</w:t>
            </w:r>
          </w:p>
        </w:tc>
        <w:tc>
          <w:tcPr>
            <w:tcW w:w="3741" w:type="dxa"/>
            <w:tcBorders>
              <w:top w:val="nil"/>
              <w:left w:val="nil"/>
              <w:bottom w:val="nil"/>
              <w:right w:val="nil"/>
            </w:tcBorders>
            <w:shd w:val="clear" w:color="auto" w:fill="FFFFFF"/>
            <w:tcMar>
              <w:top w:w="60" w:type="dxa"/>
              <w:left w:w="80" w:type="dxa"/>
              <w:bottom w:w="60" w:type="dxa"/>
              <w:right w:w="80" w:type="dxa"/>
            </w:tcMar>
            <w:vAlign w:val="center"/>
          </w:tcPr>
          <w:p w14:paraId="61E838C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3只ETF</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5534023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固定持仓数量</w:t>
            </w:r>
          </w:p>
        </w:tc>
      </w:tr>
      <w:tr w14:paraId="232C4B5B">
        <w:tblPrEx>
          <w:tblCellMar>
            <w:top w:w="0" w:type="dxa"/>
            <w:left w:w="108" w:type="dxa"/>
            <w:bottom w:w="0" w:type="dxa"/>
            <w:right w:w="108" w:type="dxa"/>
          </w:tblCellMar>
        </w:tblPrEx>
        <w:trPr>
          <w:cantSplit/>
          <w:jc w:val="center"/>
        </w:trPr>
        <w:tc>
          <w:tcPr>
            <w:tcW w:w="1757" w:type="dxa"/>
            <w:tcBorders>
              <w:top w:val="nil"/>
              <w:left w:val="nil"/>
              <w:bottom w:val="nil"/>
              <w:right w:val="nil"/>
            </w:tcBorders>
            <w:shd w:val="clear" w:color="auto" w:fill="FFFFFF"/>
            <w:tcMar>
              <w:top w:w="60" w:type="dxa"/>
              <w:left w:w="80" w:type="dxa"/>
              <w:bottom w:w="60" w:type="dxa"/>
              <w:right w:w="80" w:type="dxa"/>
            </w:tcMar>
            <w:vAlign w:val="center"/>
          </w:tcPr>
          <w:p w14:paraId="1ECACD7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权重规则</w:t>
            </w:r>
          </w:p>
        </w:tc>
        <w:tc>
          <w:tcPr>
            <w:tcW w:w="3741" w:type="dxa"/>
            <w:tcBorders>
              <w:top w:val="nil"/>
              <w:left w:val="nil"/>
              <w:bottom w:val="nil"/>
              <w:right w:val="nil"/>
            </w:tcBorders>
            <w:shd w:val="clear" w:color="auto" w:fill="FFFFFF"/>
            <w:tcMar>
              <w:top w:w="60" w:type="dxa"/>
              <w:left w:w="80" w:type="dxa"/>
              <w:bottom w:w="60" w:type="dxa"/>
              <w:right w:w="80" w:type="dxa"/>
            </w:tcMar>
            <w:vAlign w:val="center"/>
          </w:tcPr>
          <w:p w14:paraId="70EA613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成员变化时按20日逆波动率配置</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5424AD7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成员不变时权重自然漂移</w:t>
            </w:r>
          </w:p>
        </w:tc>
      </w:tr>
      <w:tr w14:paraId="0BD02CD8">
        <w:tblPrEx>
          <w:tblCellMar>
            <w:top w:w="0" w:type="dxa"/>
            <w:left w:w="108" w:type="dxa"/>
            <w:bottom w:w="0" w:type="dxa"/>
            <w:right w:w="108" w:type="dxa"/>
          </w:tblCellMar>
        </w:tblPrEx>
        <w:trPr>
          <w:cantSplit/>
          <w:jc w:val="center"/>
        </w:trPr>
        <w:tc>
          <w:tcPr>
            <w:tcW w:w="1757" w:type="dxa"/>
            <w:tcBorders>
              <w:top w:val="nil"/>
              <w:left w:val="nil"/>
              <w:bottom w:val="nil"/>
              <w:right w:val="nil"/>
            </w:tcBorders>
            <w:shd w:val="clear" w:color="auto" w:fill="FFFFFF"/>
            <w:tcMar>
              <w:top w:w="60" w:type="dxa"/>
              <w:left w:w="80" w:type="dxa"/>
              <w:bottom w:w="60" w:type="dxa"/>
              <w:right w:w="80" w:type="dxa"/>
            </w:tcMar>
            <w:vAlign w:val="center"/>
          </w:tcPr>
          <w:p w14:paraId="507F2D1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执行时点</w:t>
            </w:r>
          </w:p>
        </w:tc>
        <w:tc>
          <w:tcPr>
            <w:tcW w:w="3741" w:type="dxa"/>
            <w:tcBorders>
              <w:top w:val="nil"/>
              <w:left w:val="nil"/>
              <w:bottom w:val="nil"/>
              <w:right w:val="nil"/>
            </w:tcBorders>
            <w:shd w:val="clear" w:color="auto" w:fill="FFFFFF"/>
            <w:tcMar>
              <w:top w:w="60" w:type="dxa"/>
              <w:left w:w="80" w:type="dxa"/>
              <w:bottom w:w="60" w:type="dxa"/>
              <w:right w:w="80" w:type="dxa"/>
            </w:tcMar>
            <w:vAlign w:val="center"/>
          </w:tcPr>
          <w:p w14:paraId="61EC57A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信号日下一交易日开盘</w:t>
            </w:r>
          </w:p>
        </w:tc>
        <w:tc>
          <w:tcPr>
            <w:tcW w:w="2948" w:type="dxa"/>
            <w:tcBorders>
              <w:top w:val="nil"/>
              <w:left w:val="nil"/>
              <w:bottom w:val="nil"/>
              <w:right w:val="nil"/>
            </w:tcBorders>
            <w:shd w:val="clear" w:color="auto" w:fill="FFFFFF"/>
            <w:tcMar>
              <w:top w:w="60" w:type="dxa"/>
              <w:left w:w="80" w:type="dxa"/>
              <w:bottom w:w="60" w:type="dxa"/>
              <w:right w:w="80" w:type="dxa"/>
            </w:tcMar>
            <w:vAlign w:val="center"/>
          </w:tcPr>
          <w:p w14:paraId="00C06C5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避免使用收盘后不可成交价格</w:t>
            </w:r>
          </w:p>
        </w:tc>
      </w:tr>
      <w:tr w14:paraId="2DC227F0">
        <w:tblPrEx>
          <w:tblCellMar>
            <w:top w:w="0" w:type="dxa"/>
            <w:left w:w="108" w:type="dxa"/>
            <w:bottom w:w="0" w:type="dxa"/>
            <w:right w:w="108" w:type="dxa"/>
          </w:tblCellMar>
        </w:tblPrEx>
        <w:trPr>
          <w:cantSplit/>
          <w:jc w:val="center"/>
        </w:trPr>
        <w:tc>
          <w:tcPr>
            <w:tcW w:w="175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922E01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交易成本</w:t>
            </w:r>
          </w:p>
        </w:tc>
        <w:tc>
          <w:tcPr>
            <w:tcW w:w="3741"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44ADFCD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单边0.05% × L1换手</w:t>
            </w:r>
          </w:p>
        </w:tc>
        <w:tc>
          <w:tcPr>
            <w:tcW w:w="2948"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DC277A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纳入回测净值</w:t>
            </w:r>
          </w:p>
        </w:tc>
      </w:tr>
    </w:tbl>
    <w:p w14:paraId="60056480">
      <w:pPr>
        <w:spacing w:after="0"/>
        <w:rPr>
          <w:b w:val="0"/>
          <w:bCs w:val="0"/>
        </w:rPr>
      </w:pPr>
    </w:p>
    <w:p w14:paraId="5DE2006D">
      <w:pPr>
        <w:rPr>
          <w:rFonts w:ascii="Times New Roman" w:hAnsi="Times New Roman" w:eastAsia="黑体"/>
          <w:b w:val="0"/>
          <w:bCs w:val="0"/>
          <w:color w:val="000000"/>
          <w:sz w:val="28"/>
        </w:rPr>
      </w:pPr>
      <w:r>
        <w:rPr>
          <w:rFonts w:ascii="Times New Roman" w:hAnsi="Times New Roman" w:eastAsia="黑体"/>
          <w:b w:val="0"/>
          <w:bCs w:val="0"/>
          <w:color w:val="000000"/>
          <w:sz w:val="28"/>
        </w:rPr>
        <w:br w:type="page"/>
      </w:r>
    </w:p>
    <w:p w14:paraId="1641CFFB">
      <w:pPr>
        <w:pStyle w:val="3"/>
        <w:jc w:val="center"/>
        <w:rPr>
          <w:b w:val="0"/>
          <w:bCs w:val="0"/>
        </w:rPr>
      </w:pPr>
      <w:bookmarkStart w:id="13" w:name="_Toc14108"/>
      <w:r>
        <w:rPr>
          <w:rFonts w:ascii="Times New Roman" w:hAnsi="Times New Roman" w:eastAsia="黑体"/>
          <w:b w:val="0"/>
          <w:bCs w:val="0"/>
          <w:color w:val="000000"/>
          <w:sz w:val="28"/>
        </w:rPr>
        <w:t>第 3 章  模型选择与稳健性检验</w:t>
      </w:r>
      <w:bookmarkEnd w:id="13"/>
    </w:p>
    <w:p w14:paraId="7491F8E0">
      <w:pPr>
        <w:pStyle w:val="4"/>
        <w:ind w:left="0" w:leftChars="0" w:firstLine="0" w:firstLineChars="0"/>
        <w:jc w:val="left"/>
        <w:rPr>
          <w:b w:val="0"/>
          <w:bCs w:val="0"/>
        </w:rPr>
      </w:pPr>
      <w:bookmarkStart w:id="14" w:name="_Toc4729"/>
      <w:r>
        <w:rPr>
          <w:rFonts w:ascii="Times New Roman" w:hAnsi="Times New Roman" w:eastAsia="黑体"/>
          <w:b w:val="0"/>
          <w:bCs w:val="0"/>
          <w:color w:val="000000"/>
          <w:sz w:val="24"/>
        </w:rPr>
        <w:t>3.1 预测周期与标签形式</w:t>
      </w:r>
      <w:bookmarkEnd w:id="14"/>
    </w:p>
    <w:p w14:paraId="0226D8EF">
      <w:pPr>
        <w:spacing w:after="0" w:line="300" w:lineRule="auto"/>
        <w:ind w:firstLine="420"/>
        <w:jc w:val="both"/>
        <w:rPr>
          <w:b w:val="0"/>
          <w:bCs w:val="0"/>
        </w:rPr>
      </w:pPr>
      <w:r>
        <w:rPr>
          <w:rFonts w:ascii="Times New Roman" w:hAnsi="Times New Roman" w:eastAsia="宋体"/>
          <w:b w:val="0"/>
          <w:bCs w:val="0"/>
          <w:color w:val="000000"/>
          <w:sz w:val="24"/>
        </w:rPr>
        <w:t>在确定最终策略前，首先比较5日、10日和20日三个预测周期。三种标签均使用相同的周频滚动训练框架，以平均排序信息系数（Rank Information Coefficient，RankIC）、RankIC中位数、正RankIC比例以及Top3命中情况评价。RankIC采用Spearman秩相关系数，衡量模型预测排名与实际未来相对收益排名的一致程度。</w:t>
      </w:r>
    </w:p>
    <w:p w14:paraId="608F3B9D">
      <w:pPr>
        <w:keepNext/>
        <w:spacing w:before="100" w:after="60"/>
        <w:jc w:val="center"/>
        <w:rPr>
          <w:b w:val="0"/>
          <w:bCs w:val="0"/>
        </w:rPr>
      </w:pPr>
      <w:r>
        <w:rPr>
          <w:rFonts w:ascii="Times New Roman" w:hAnsi="Times New Roman" w:eastAsia="宋体"/>
          <w:b w:val="0"/>
          <w:bCs w:val="0"/>
          <w:color w:val="000000"/>
          <w:sz w:val="21"/>
        </w:rPr>
        <w:t>表 3.1  不同预测周期比较</w:t>
      </w:r>
    </w:p>
    <w:tbl>
      <w:tblPr>
        <w:tblStyle w:val="34"/>
        <w:tblW w:w="0" w:type="auto"/>
        <w:jc w:val="center"/>
        <w:tblLayout w:type="autofit"/>
        <w:tblCellMar>
          <w:top w:w="0" w:type="dxa"/>
          <w:left w:w="108" w:type="dxa"/>
          <w:bottom w:w="0" w:type="dxa"/>
          <w:right w:w="108" w:type="dxa"/>
        </w:tblCellMar>
      </w:tblPr>
      <w:tblGrid>
        <w:gridCol w:w="1133"/>
        <w:gridCol w:w="1417"/>
        <w:gridCol w:w="1417"/>
        <w:gridCol w:w="1247"/>
        <w:gridCol w:w="1757"/>
        <w:gridCol w:w="1474"/>
      </w:tblGrid>
      <w:tr w14:paraId="446583B5">
        <w:trPr>
          <w:cantSplit/>
          <w:jc w:val="center"/>
        </w:trPr>
        <w:tc>
          <w:tcPr>
            <w:tcW w:w="1133"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487E12E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预测周期</w:t>
            </w:r>
          </w:p>
        </w:tc>
        <w:tc>
          <w:tcPr>
            <w:tcW w:w="141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05BB0D2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平均RankIC</w:t>
            </w:r>
          </w:p>
        </w:tc>
        <w:tc>
          <w:tcPr>
            <w:tcW w:w="141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4B21DB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RankIC中位数</w:t>
            </w:r>
          </w:p>
        </w:tc>
        <w:tc>
          <w:tcPr>
            <w:tcW w:w="124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C78E11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RankIC&gt;0</w:t>
            </w:r>
          </w:p>
        </w:tc>
        <w:tc>
          <w:tcPr>
            <w:tcW w:w="175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D6842F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Top1进入实际Top3</w:t>
            </w:r>
          </w:p>
        </w:tc>
        <w:tc>
          <w:tcPr>
            <w:tcW w:w="1474"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435D0F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Top3重合率</w:t>
            </w:r>
          </w:p>
        </w:tc>
      </w:tr>
      <w:tr w14:paraId="67038BB7">
        <w:tblPrEx>
          <w:tblCellMar>
            <w:top w:w="0" w:type="dxa"/>
            <w:left w:w="108" w:type="dxa"/>
            <w:bottom w:w="0" w:type="dxa"/>
            <w:right w:w="108" w:type="dxa"/>
          </w:tblCellMar>
        </w:tblPrEx>
        <w:trPr>
          <w:cantSplit/>
          <w:jc w:val="center"/>
        </w:trPr>
        <w:tc>
          <w:tcPr>
            <w:tcW w:w="1133"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9ED354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5日</w:t>
            </w:r>
          </w:p>
        </w:tc>
        <w:tc>
          <w:tcPr>
            <w:tcW w:w="141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2C70481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0.0187</w:t>
            </w:r>
          </w:p>
        </w:tc>
        <w:tc>
          <w:tcPr>
            <w:tcW w:w="141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FCE3F3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0.0238</w:t>
            </w:r>
          </w:p>
        </w:tc>
        <w:tc>
          <w:tcPr>
            <w:tcW w:w="124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22643DF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53.1%</w:t>
            </w:r>
          </w:p>
        </w:tc>
        <w:tc>
          <w:tcPr>
            <w:tcW w:w="175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8FE157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43.5%</w:t>
            </w:r>
          </w:p>
        </w:tc>
        <w:tc>
          <w:tcPr>
            <w:tcW w:w="1474"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1745B7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42.0%</w:t>
            </w:r>
          </w:p>
        </w:tc>
      </w:tr>
      <w:tr w14:paraId="758A82C6">
        <w:tblPrEx>
          <w:tblCellMar>
            <w:top w:w="0" w:type="dxa"/>
            <w:left w:w="108" w:type="dxa"/>
            <w:bottom w:w="0" w:type="dxa"/>
            <w:right w:w="108" w:type="dxa"/>
          </w:tblCellMar>
        </w:tblPrEx>
        <w:trPr>
          <w:cantSplit/>
          <w:jc w:val="center"/>
        </w:trPr>
        <w:tc>
          <w:tcPr>
            <w:tcW w:w="1133" w:type="dxa"/>
            <w:tcBorders>
              <w:top w:val="nil"/>
              <w:left w:val="nil"/>
              <w:bottom w:val="nil"/>
              <w:right w:val="nil"/>
            </w:tcBorders>
            <w:shd w:val="clear" w:color="auto" w:fill="FFFFFF"/>
            <w:tcMar>
              <w:top w:w="60" w:type="dxa"/>
              <w:left w:w="80" w:type="dxa"/>
              <w:bottom w:w="60" w:type="dxa"/>
              <w:right w:w="80" w:type="dxa"/>
            </w:tcMar>
            <w:vAlign w:val="center"/>
          </w:tcPr>
          <w:p w14:paraId="051352C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10日</w:t>
            </w:r>
          </w:p>
        </w:tc>
        <w:tc>
          <w:tcPr>
            <w:tcW w:w="1417" w:type="dxa"/>
            <w:tcBorders>
              <w:top w:val="nil"/>
              <w:left w:val="nil"/>
              <w:bottom w:val="nil"/>
              <w:right w:val="nil"/>
            </w:tcBorders>
            <w:shd w:val="clear" w:color="auto" w:fill="FFFFFF"/>
            <w:tcMar>
              <w:top w:w="60" w:type="dxa"/>
              <w:left w:w="80" w:type="dxa"/>
              <w:bottom w:w="60" w:type="dxa"/>
              <w:right w:w="80" w:type="dxa"/>
            </w:tcMar>
            <w:vAlign w:val="center"/>
          </w:tcPr>
          <w:p w14:paraId="69345E4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0.0121</w:t>
            </w:r>
          </w:p>
        </w:tc>
        <w:tc>
          <w:tcPr>
            <w:tcW w:w="1417" w:type="dxa"/>
            <w:tcBorders>
              <w:top w:val="nil"/>
              <w:left w:val="nil"/>
              <w:bottom w:val="nil"/>
              <w:right w:val="nil"/>
            </w:tcBorders>
            <w:shd w:val="clear" w:color="auto" w:fill="FFFFFF"/>
            <w:tcMar>
              <w:top w:w="60" w:type="dxa"/>
              <w:left w:w="80" w:type="dxa"/>
              <w:bottom w:w="60" w:type="dxa"/>
              <w:right w:w="80" w:type="dxa"/>
            </w:tcMar>
            <w:vAlign w:val="center"/>
          </w:tcPr>
          <w:p w14:paraId="6F3D2E1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0.0238</w:t>
            </w:r>
          </w:p>
        </w:tc>
        <w:tc>
          <w:tcPr>
            <w:tcW w:w="1247" w:type="dxa"/>
            <w:tcBorders>
              <w:top w:val="nil"/>
              <w:left w:val="nil"/>
              <w:bottom w:val="nil"/>
              <w:right w:val="nil"/>
            </w:tcBorders>
            <w:shd w:val="clear" w:color="auto" w:fill="FFFFFF"/>
            <w:tcMar>
              <w:top w:w="60" w:type="dxa"/>
              <w:left w:w="80" w:type="dxa"/>
              <w:bottom w:w="60" w:type="dxa"/>
              <w:right w:w="80" w:type="dxa"/>
            </w:tcMar>
            <w:vAlign w:val="center"/>
          </w:tcPr>
          <w:p w14:paraId="7D35142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50.3%</w:t>
            </w:r>
          </w:p>
        </w:tc>
        <w:tc>
          <w:tcPr>
            <w:tcW w:w="1757" w:type="dxa"/>
            <w:tcBorders>
              <w:top w:val="nil"/>
              <w:left w:val="nil"/>
              <w:bottom w:val="nil"/>
              <w:right w:val="nil"/>
            </w:tcBorders>
            <w:shd w:val="clear" w:color="auto" w:fill="FFFFFF"/>
            <w:tcMar>
              <w:top w:w="60" w:type="dxa"/>
              <w:left w:w="80" w:type="dxa"/>
              <w:bottom w:w="60" w:type="dxa"/>
              <w:right w:w="80" w:type="dxa"/>
            </w:tcMar>
            <w:vAlign w:val="center"/>
          </w:tcPr>
          <w:p w14:paraId="6265781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45.6%</w:t>
            </w:r>
          </w:p>
        </w:tc>
        <w:tc>
          <w:tcPr>
            <w:tcW w:w="1474" w:type="dxa"/>
            <w:tcBorders>
              <w:top w:val="nil"/>
              <w:left w:val="nil"/>
              <w:bottom w:val="nil"/>
              <w:right w:val="nil"/>
            </w:tcBorders>
            <w:shd w:val="clear" w:color="auto" w:fill="FFFFFF"/>
            <w:tcMar>
              <w:top w:w="60" w:type="dxa"/>
              <w:left w:w="80" w:type="dxa"/>
              <w:bottom w:w="60" w:type="dxa"/>
              <w:right w:w="80" w:type="dxa"/>
            </w:tcMar>
            <w:vAlign w:val="center"/>
          </w:tcPr>
          <w:p w14:paraId="5B83F748">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39.7%</w:t>
            </w:r>
          </w:p>
        </w:tc>
      </w:tr>
      <w:tr w14:paraId="7C070B24">
        <w:tblPrEx>
          <w:tblCellMar>
            <w:top w:w="0" w:type="dxa"/>
            <w:left w:w="108" w:type="dxa"/>
            <w:bottom w:w="0" w:type="dxa"/>
            <w:right w:w="108" w:type="dxa"/>
          </w:tblCellMar>
        </w:tblPrEx>
        <w:trPr>
          <w:cantSplit/>
          <w:jc w:val="center"/>
        </w:trPr>
        <w:tc>
          <w:tcPr>
            <w:tcW w:w="1133"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C7F61D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20日</w:t>
            </w:r>
          </w:p>
        </w:tc>
        <w:tc>
          <w:tcPr>
            <w:tcW w:w="141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4B3ECD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0.0700</w:t>
            </w:r>
          </w:p>
        </w:tc>
        <w:tc>
          <w:tcPr>
            <w:tcW w:w="141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70E448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0.0476</w:t>
            </w:r>
          </w:p>
        </w:tc>
        <w:tc>
          <w:tcPr>
            <w:tcW w:w="124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3631732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53.1%</w:t>
            </w:r>
          </w:p>
        </w:tc>
        <w:tc>
          <w:tcPr>
            <w:tcW w:w="175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173E6B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49.0%</w:t>
            </w:r>
          </w:p>
        </w:tc>
        <w:tc>
          <w:tcPr>
            <w:tcW w:w="1474"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B4CCBB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42.4%</w:t>
            </w:r>
          </w:p>
        </w:tc>
      </w:tr>
    </w:tbl>
    <w:p w14:paraId="46BBA27E">
      <w:pPr>
        <w:spacing w:before="0" w:after="0" w:line="240" w:lineRule="auto"/>
        <w:ind w:left="0" w:leftChars="0" w:firstLine="0" w:firstLineChars="0"/>
        <w:jc w:val="center"/>
        <w:rPr>
          <w:rFonts w:ascii="Times New Roman" w:hAnsi="Times New Roman" w:eastAsia="宋体"/>
          <w:b w:val="0"/>
          <w:bCs w:val="0"/>
          <w:color w:val="000000"/>
          <w:sz w:val="21"/>
        </w:rPr>
      </w:pPr>
    </w:p>
    <w:p w14:paraId="59C90570">
      <w:pPr>
        <w:spacing w:after="0" w:line="300" w:lineRule="auto"/>
        <w:ind w:firstLine="420"/>
        <w:jc w:val="both"/>
        <w:rPr>
          <w:b w:val="0"/>
          <w:bCs w:val="0"/>
        </w:rPr>
      </w:pPr>
      <w:r>
        <w:rPr>
          <w:rFonts w:ascii="Times New Roman" w:hAnsi="Times New Roman" w:eastAsia="宋体"/>
          <w:b w:val="0"/>
          <w:bCs w:val="0"/>
          <w:color w:val="000000"/>
          <w:sz w:val="24"/>
        </w:rPr>
        <w:t>20日标签的平均RankIC和Top3相关指标整体较优，因此最终预测周期设定为20个交易日。需要说明的是，20日优势并非在所有年份中都同样明显，因此该结果用于确定研究设定，而不被解释为长期稳定的统计优势。</w:t>
      </w:r>
    </w:p>
    <w:p w14:paraId="13F60395">
      <w:pPr>
        <w:spacing w:after="0" w:line="300" w:lineRule="auto"/>
        <w:ind w:firstLine="420"/>
        <w:jc w:val="both"/>
        <w:rPr>
          <w:b w:val="0"/>
          <w:bCs w:val="0"/>
        </w:rPr>
      </w:pPr>
      <w:r>
        <w:rPr>
          <w:rFonts w:ascii="Times New Roman" w:hAnsi="Times New Roman" w:eastAsia="宋体"/>
          <w:b w:val="0"/>
          <w:bCs w:val="0"/>
          <w:color w:val="000000"/>
          <w:sz w:val="24"/>
        </w:rPr>
        <w:t>在20日周期固定后，进一步比较绝对收益标签与横截面相对收益标签。两者平均RankIC差异较小，但相对收益标签在正RankIC比例、Top1进入实际Top3以及Top3重合率方面均略高，同时与“同一ETF池中选择相对更强者”的轮动目标更一致，因此最终采用相对收益标签。</w:t>
      </w:r>
    </w:p>
    <w:p w14:paraId="34EAECC4">
      <w:pPr>
        <w:keepNext/>
        <w:spacing w:before="100" w:after="60"/>
        <w:jc w:val="center"/>
        <w:rPr>
          <w:b w:val="0"/>
          <w:bCs w:val="0"/>
        </w:rPr>
      </w:pPr>
      <w:r>
        <w:rPr>
          <w:rFonts w:ascii="Times New Roman" w:hAnsi="Times New Roman" w:eastAsia="宋体"/>
          <w:b w:val="0"/>
          <w:bCs w:val="0"/>
          <w:color w:val="000000"/>
          <w:sz w:val="21"/>
        </w:rPr>
        <w:t>表 3.2  绝对收益与相对收益标签比较</w:t>
      </w:r>
    </w:p>
    <w:tbl>
      <w:tblPr>
        <w:tblStyle w:val="34"/>
        <w:tblW w:w="0" w:type="auto"/>
        <w:jc w:val="center"/>
        <w:tblLayout w:type="autofit"/>
        <w:tblCellMar>
          <w:top w:w="0" w:type="dxa"/>
          <w:left w:w="108" w:type="dxa"/>
          <w:bottom w:w="0" w:type="dxa"/>
          <w:right w:w="108" w:type="dxa"/>
        </w:tblCellMar>
      </w:tblPr>
      <w:tblGrid>
        <w:gridCol w:w="1303"/>
        <w:gridCol w:w="1417"/>
        <w:gridCol w:w="1417"/>
        <w:gridCol w:w="1247"/>
        <w:gridCol w:w="1757"/>
        <w:gridCol w:w="1474"/>
      </w:tblGrid>
      <w:tr w14:paraId="568F9CA9">
        <w:tblPrEx>
          <w:tblCellMar>
            <w:top w:w="0" w:type="dxa"/>
            <w:left w:w="108" w:type="dxa"/>
            <w:bottom w:w="0" w:type="dxa"/>
            <w:right w:w="108" w:type="dxa"/>
          </w:tblCellMar>
        </w:tblPrEx>
        <w:trPr>
          <w:cantSplit/>
          <w:jc w:val="center"/>
        </w:trPr>
        <w:tc>
          <w:tcPr>
            <w:tcW w:w="1303"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552D9E4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标签</w:t>
            </w:r>
          </w:p>
        </w:tc>
        <w:tc>
          <w:tcPr>
            <w:tcW w:w="141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11B4BD2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平均RankIC</w:t>
            </w:r>
          </w:p>
        </w:tc>
        <w:tc>
          <w:tcPr>
            <w:tcW w:w="141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39B7864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RankIC中位数</w:t>
            </w:r>
          </w:p>
        </w:tc>
        <w:tc>
          <w:tcPr>
            <w:tcW w:w="124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6EE990B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RankIC&gt;0</w:t>
            </w:r>
          </w:p>
        </w:tc>
        <w:tc>
          <w:tcPr>
            <w:tcW w:w="175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1F99896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Top1进入实际Top3</w:t>
            </w:r>
          </w:p>
        </w:tc>
        <w:tc>
          <w:tcPr>
            <w:tcW w:w="1474"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EB3903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Top3重合率</w:t>
            </w:r>
          </w:p>
        </w:tc>
      </w:tr>
      <w:tr w14:paraId="52D2F831">
        <w:tblPrEx>
          <w:tblCellMar>
            <w:top w:w="0" w:type="dxa"/>
            <w:left w:w="108" w:type="dxa"/>
            <w:bottom w:w="0" w:type="dxa"/>
            <w:right w:w="108" w:type="dxa"/>
          </w:tblCellMar>
        </w:tblPrEx>
        <w:trPr>
          <w:cantSplit/>
          <w:jc w:val="center"/>
        </w:trPr>
        <w:tc>
          <w:tcPr>
            <w:tcW w:w="1303"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183B05A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绝对收益</w:t>
            </w:r>
          </w:p>
        </w:tc>
        <w:tc>
          <w:tcPr>
            <w:tcW w:w="141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A01BFC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0.0554</w:t>
            </w:r>
          </w:p>
        </w:tc>
        <w:tc>
          <w:tcPr>
            <w:tcW w:w="141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34FF4E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0.0238</w:t>
            </w:r>
          </w:p>
        </w:tc>
        <w:tc>
          <w:tcPr>
            <w:tcW w:w="124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11DAFB0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51.0%</w:t>
            </w:r>
          </w:p>
        </w:tc>
        <w:tc>
          <w:tcPr>
            <w:tcW w:w="175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5E544E4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46.9%</w:t>
            </w:r>
          </w:p>
        </w:tc>
        <w:tc>
          <w:tcPr>
            <w:tcW w:w="1474"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14507F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40.8%</w:t>
            </w:r>
          </w:p>
        </w:tc>
      </w:tr>
      <w:tr w14:paraId="706FF964">
        <w:tblPrEx>
          <w:tblCellMar>
            <w:top w:w="0" w:type="dxa"/>
            <w:left w:w="108" w:type="dxa"/>
            <w:bottom w:w="0" w:type="dxa"/>
            <w:right w:w="108" w:type="dxa"/>
          </w:tblCellMar>
        </w:tblPrEx>
        <w:trPr>
          <w:cantSplit/>
          <w:jc w:val="center"/>
        </w:trPr>
        <w:tc>
          <w:tcPr>
            <w:tcW w:w="1303"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5AA41D5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相对收益</w:t>
            </w:r>
          </w:p>
        </w:tc>
        <w:tc>
          <w:tcPr>
            <w:tcW w:w="141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55224D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0.0562</w:t>
            </w:r>
          </w:p>
        </w:tc>
        <w:tc>
          <w:tcPr>
            <w:tcW w:w="141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2DBC90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0.0476</w:t>
            </w:r>
          </w:p>
        </w:tc>
        <w:tc>
          <w:tcPr>
            <w:tcW w:w="124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347F85F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54.4%</w:t>
            </w:r>
          </w:p>
        </w:tc>
        <w:tc>
          <w:tcPr>
            <w:tcW w:w="175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7FE83D2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52.4%</w:t>
            </w:r>
          </w:p>
        </w:tc>
        <w:tc>
          <w:tcPr>
            <w:tcW w:w="1474"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3645C5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42.9%</w:t>
            </w:r>
          </w:p>
        </w:tc>
      </w:tr>
    </w:tbl>
    <w:p w14:paraId="7326BEF6">
      <w:pPr>
        <w:spacing w:after="0"/>
        <w:rPr>
          <w:b w:val="0"/>
          <w:bCs w:val="0"/>
        </w:rPr>
      </w:pPr>
    </w:p>
    <w:p w14:paraId="0170D51E">
      <w:pPr>
        <w:pStyle w:val="4"/>
        <w:ind w:left="0" w:leftChars="0" w:firstLine="0" w:firstLineChars="0"/>
        <w:jc w:val="left"/>
        <w:rPr>
          <w:b w:val="0"/>
          <w:bCs w:val="0"/>
        </w:rPr>
      </w:pPr>
      <w:bookmarkStart w:id="15" w:name="_Toc18615"/>
      <w:r>
        <w:rPr>
          <w:rFonts w:ascii="Times New Roman" w:hAnsi="Times New Roman" w:eastAsia="黑体"/>
          <w:b w:val="0"/>
          <w:bCs w:val="0"/>
          <w:color w:val="000000"/>
          <w:sz w:val="24"/>
        </w:rPr>
        <w:t>3.2 信息泄露控制与CPCV</w:t>
      </w:r>
      <w:bookmarkEnd w:id="15"/>
    </w:p>
    <w:p w14:paraId="687C304D">
      <w:pPr>
        <w:spacing w:after="0" w:line="300" w:lineRule="auto"/>
        <w:ind w:firstLine="420"/>
        <w:jc w:val="both"/>
        <w:rPr>
          <w:b w:val="0"/>
          <w:bCs w:val="0"/>
        </w:rPr>
      </w:pPr>
      <w:r>
        <w:rPr>
          <w:rFonts w:ascii="Times New Roman" w:hAnsi="Times New Roman" w:eastAsia="宋体"/>
          <w:b w:val="0"/>
          <w:bCs w:val="0"/>
          <w:color w:val="000000"/>
          <w:sz w:val="24"/>
        </w:rPr>
        <w:t>金融时间序列的未来收益标签通常跨越多个交易日，相邻样本的标签区间高度重叠。若只按照特征日期划分训练集和测试集，训练样本的未来收益区间可能与测试区间发生重叠，从而形成隐蔽的信息泄露。为此，本文在所有滚动训练中要求“标签完全实现日期早于当前信号日”，并在交叉验证中进一步使用重叠样本剔除（Purging）和测试期后隔离（Embargo）</w:t>
      </w:r>
      <w:r>
        <w:rPr>
          <w:rFonts w:ascii="Times New Roman" w:hAnsi="Times New Roman" w:eastAsia="宋体"/>
          <w:b w:val="0"/>
          <w:bCs w:val="0"/>
          <w:color w:val="000000"/>
          <w:sz w:val="24"/>
          <w:vertAlign w:val="superscript"/>
        </w:rPr>
        <w:t>[4]</w:t>
      </w:r>
      <w:r>
        <w:rPr>
          <w:rFonts w:ascii="Times New Roman" w:hAnsi="Times New Roman" w:eastAsia="宋体"/>
          <w:b w:val="0"/>
          <w:bCs w:val="0"/>
          <w:color w:val="000000"/>
          <w:sz w:val="24"/>
        </w:rPr>
        <w:t>。</w:t>
      </w:r>
    </w:p>
    <w:p w14:paraId="530F037C">
      <w:pPr>
        <w:spacing w:after="0" w:line="300" w:lineRule="auto"/>
        <w:ind w:firstLine="420"/>
        <w:jc w:val="both"/>
        <w:rPr>
          <w:b w:val="0"/>
          <w:bCs w:val="0"/>
        </w:rPr>
      </w:pPr>
      <w:r>
        <w:rPr>
          <w:rFonts w:ascii="Times New Roman" w:hAnsi="Times New Roman" w:eastAsia="宋体"/>
          <w:b w:val="0"/>
          <w:bCs w:val="0"/>
          <w:color w:val="000000"/>
          <w:sz w:val="24"/>
        </w:rPr>
        <w:t>在此基础上，本文采用组合式净化交叉验证（Combinatorial Purged Cross-Validation，CPCV）。CPCV将开发期周度信号划分为6个连续时间组，每次选择2组作为测试，形成15个训练—测试组合，并将样本外片段重构为5条完整的样本外路径。与单一时间切分相比，该方法能够观察策略结论是否对训练样本组合高度敏感。</w:t>
      </w:r>
    </w:p>
    <w:p w14:paraId="283F880C">
      <w:pPr>
        <w:spacing w:after="0" w:line="300" w:lineRule="auto"/>
        <w:ind w:firstLine="420"/>
        <w:jc w:val="both"/>
        <w:rPr>
          <w:b w:val="0"/>
          <w:bCs w:val="0"/>
        </w:rPr>
      </w:pPr>
      <w:r>
        <w:rPr>
          <w:rFonts w:ascii="Times New Roman" w:hAnsi="Times New Roman" w:eastAsia="宋体"/>
          <w:b w:val="0"/>
          <w:bCs w:val="0"/>
          <w:color w:val="000000"/>
          <w:sz w:val="24"/>
        </w:rPr>
        <w:t>最终独立测试集（Holdout）则完全保留至模型、持仓规则和权重规则确定之后才打开。该区间为2026年6月15日至8月28日，共54个交易日。最终测试集只用于评价，不再用于重新选择模型或调整组合规则。</w:t>
      </w:r>
    </w:p>
    <w:p w14:paraId="3E73F889">
      <w:pPr>
        <w:pStyle w:val="4"/>
        <w:ind w:left="0" w:leftChars="0" w:firstLine="0" w:firstLineChars="0"/>
        <w:jc w:val="left"/>
        <w:rPr>
          <w:b w:val="0"/>
          <w:bCs w:val="0"/>
        </w:rPr>
      </w:pPr>
      <w:bookmarkStart w:id="16" w:name="_Toc5423"/>
      <w:r>
        <w:rPr>
          <w:rFonts w:ascii="Times New Roman" w:hAnsi="Times New Roman" w:eastAsia="黑体"/>
          <w:b w:val="0"/>
          <w:bCs w:val="0"/>
          <w:color w:val="000000"/>
          <w:sz w:val="24"/>
        </w:rPr>
        <w:t>3.3 GP特征检验与嵌套CPCV</w:t>
      </w:r>
      <w:bookmarkEnd w:id="16"/>
    </w:p>
    <w:p w14:paraId="71CA43C2">
      <w:pPr>
        <w:spacing w:after="0" w:line="300" w:lineRule="auto"/>
        <w:ind w:firstLine="420"/>
        <w:jc w:val="both"/>
        <w:rPr>
          <w:b w:val="0"/>
          <w:bCs w:val="0"/>
        </w:rPr>
      </w:pPr>
      <w:r>
        <w:rPr>
          <w:rFonts w:ascii="Times New Roman" w:hAnsi="Times New Roman" w:eastAsia="宋体"/>
          <w:b w:val="0"/>
          <w:bCs w:val="0"/>
          <w:color w:val="000000"/>
          <w:sz w:val="24"/>
        </w:rPr>
        <w:t>遗传规划（Genetic Programming，GP）是一种通过选择、交叉和变异在表达式空间中自动搜索数学公式的方法</w:t>
      </w:r>
      <w:r>
        <w:rPr>
          <w:rFonts w:ascii="Times New Roman" w:hAnsi="Times New Roman" w:eastAsia="宋体"/>
          <w:b w:val="0"/>
          <w:bCs w:val="0"/>
          <w:color w:val="000000"/>
          <w:sz w:val="24"/>
          <w:vertAlign w:val="superscript"/>
        </w:rPr>
        <w:t>[3]</w:t>
      </w:r>
      <w:r>
        <w:rPr>
          <w:rFonts w:ascii="Times New Roman" w:hAnsi="Times New Roman" w:eastAsia="宋体"/>
          <w:b w:val="0"/>
          <w:bCs w:val="0"/>
          <w:color w:val="000000"/>
          <w:sz w:val="24"/>
        </w:rPr>
        <w:t>。本文将GP作为候选的非线性特征发现工具：GP从标准化后的基础指标中搜索低复杂度表达式，再将生成特征加入XGBoost，与不加入GP特征的XGBoost进行比较。GP不直接决定持仓，也不参与最终权重计算。</w:t>
      </w:r>
    </w:p>
    <w:p w14:paraId="57B59655">
      <w:pPr>
        <w:spacing w:after="0" w:line="300" w:lineRule="auto"/>
        <w:ind w:firstLine="420"/>
        <w:jc w:val="both"/>
        <w:rPr>
          <w:b w:val="0"/>
          <w:bCs w:val="0"/>
        </w:rPr>
      </w:pPr>
      <w:r>
        <w:rPr>
          <w:rFonts w:ascii="Times New Roman" w:hAnsi="Times New Roman" w:eastAsia="宋体"/>
          <w:b w:val="0"/>
          <w:bCs w:val="0"/>
          <w:color w:val="000000"/>
          <w:sz w:val="24"/>
        </w:rPr>
        <w:t>为了避免“先在全体开发数据上搜索GP公式、再拿同一批数据检验公式”的选择偏差，本文进一步采用嵌套组合式净化交叉验证（Nested CPCV）。在每一个CPCV训练子样本内部重新执行GP搜索，再在对应测试组评价XGBoost与“XGBoost+GP特征”两种模型。这样，测试数据既不参与XGBoost拟合，也不参与GP公式选择，检验对象从固定公式扩展为完整的建模流程。</w:t>
      </w:r>
    </w:p>
    <w:p w14:paraId="6485B2B0">
      <w:pPr>
        <w:keepNext/>
        <w:jc w:val="center"/>
        <w:rPr>
          <w:b w:val="0"/>
          <w:bCs w:val="0"/>
        </w:rPr>
      </w:pPr>
      <w:r>
        <w:rPr>
          <w:b w:val="0"/>
          <w:bCs w:val="0"/>
        </w:rPr>
        <w:drawing>
          <wp:inline distT="0" distB="0" distL="114300" distR="114300">
            <wp:extent cx="5532120" cy="328549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32120" cy="3285722"/>
                    </a:xfrm>
                    <a:prstGeom prst="rect">
                      <a:avLst/>
                    </a:prstGeom>
                  </pic:spPr>
                </pic:pic>
              </a:graphicData>
            </a:graphic>
          </wp:inline>
        </w:drawing>
      </w:r>
    </w:p>
    <w:p w14:paraId="256B9CAF">
      <w:pPr>
        <w:spacing w:after="0"/>
        <w:jc w:val="center"/>
        <w:rPr>
          <w:b w:val="0"/>
          <w:bCs w:val="0"/>
        </w:rPr>
      </w:pPr>
      <w:r>
        <w:rPr>
          <w:rFonts w:ascii="Times New Roman" w:hAnsi="Times New Roman" w:eastAsia="宋体"/>
          <w:b w:val="0"/>
          <w:bCs w:val="0"/>
          <w:color w:val="000000"/>
          <w:sz w:val="21"/>
        </w:rPr>
        <w:t>图 3.1  嵌套CPCV五条样本外路径的Sharpe比率</w:t>
      </w:r>
    </w:p>
    <w:p w14:paraId="6C958005">
      <w:pPr>
        <w:keepNext/>
        <w:spacing w:before="100" w:after="60"/>
        <w:jc w:val="center"/>
        <w:rPr>
          <w:b w:val="0"/>
          <w:bCs w:val="0"/>
        </w:rPr>
      </w:pPr>
      <w:r>
        <w:rPr>
          <w:rFonts w:ascii="Times New Roman" w:hAnsi="Times New Roman" w:eastAsia="宋体"/>
          <w:b w:val="0"/>
          <w:bCs w:val="0"/>
          <w:color w:val="000000"/>
          <w:sz w:val="21"/>
        </w:rPr>
        <w:t>表 3.3  嵌套CPCV策略层结果</w:t>
      </w:r>
    </w:p>
    <w:tbl>
      <w:tblPr>
        <w:tblStyle w:val="34"/>
        <w:tblW w:w="0" w:type="auto"/>
        <w:jc w:val="center"/>
        <w:tblLayout w:type="autofit"/>
        <w:tblCellMar>
          <w:top w:w="0" w:type="dxa"/>
          <w:left w:w="108" w:type="dxa"/>
          <w:bottom w:w="0" w:type="dxa"/>
          <w:right w:w="108" w:type="dxa"/>
        </w:tblCellMar>
      </w:tblPr>
      <w:tblGrid>
        <w:gridCol w:w="1814"/>
        <w:gridCol w:w="1530"/>
        <w:gridCol w:w="1417"/>
        <w:gridCol w:w="1644"/>
        <w:gridCol w:w="1360"/>
        <w:gridCol w:w="1417"/>
      </w:tblGrid>
      <w:tr w14:paraId="5EE00988">
        <w:trPr>
          <w:cantSplit/>
          <w:jc w:val="center"/>
        </w:trPr>
        <w:tc>
          <w:tcPr>
            <w:tcW w:w="1814"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77848AB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模型</w:t>
            </w:r>
          </w:p>
        </w:tc>
        <w:tc>
          <w:tcPr>
            <w:tcW w:w="153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10F026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年化收益中位数</w:t>
            </w:r>
          </w:p>
        </w:tc>
        <w:tc>
          <w:tcPr>
            <w:tcW w:w="141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6D8C346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Sharpe中位数</w:t>
            </w:r>
          </w:p>
        </w:tc>
        <w:tc>
          <w:tcPr>
            <w:tcW w:w="1644"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366A7F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最大回撤中位数</w:t>
            </w:r>
          </w:p>
        </w:tc>
        <w:tc>
          <w:tcPr>
            <w:tcW w:w="136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153B8A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Calmar中位数</w:t>
            </w:r>
          </w:p>
        </w:tc>
        <w:tc>
          <w:tcPr>
            <w:tcW w:w="141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FD0F2C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L1换手中位数</w:t>
            </w:r>
          </w:p>
        </w:tc>
      </w:tr>
      <w:tr w14:paraId="0B462864">
        <w:tblPrEx>
          <w:tblCellMar>
            <w:top w:w="0" w:type="dxa"/>
            <w:left w:w="108" w:type="dxa"/>
            <w:bottom w:w="0" w:type="dxa"/>
            <w:right w:w="108" w:type="dxa"/>
          </w:tblCellMar>
        </w:tblPrEx>
        <w:trPr>
          <w:cantSplit/>
          <w:jc w:val="center"/>
        </w:trPr>
        <w:tc>
          <w:tcPr>
            <w:tcW w:w="1814"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732BF7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XGBoost</w:t>
            </w:r>
          </w:p>
        </w:tc>
        <w:tc>
          <w:tcPr>
            <w:tcW w:w="153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C75C87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7.3%</w:t>
            </w:r>
          </w:p>
        </w:tc>
        <w:tc>
          <w:tcPr>
            <w:tcW w:w="141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780744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0.450</w:t>
            </w:r>
          </w:p>
        </w:tc>
        <w:tc>
          <w:tcPr>
            <w:tcW w:w="1644"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4DF606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-24.3%</w:t>
            </w:r>
          </w:p>
        </w:tc>
        <w:tc>
          <w:tcPr>
            <w:tcW w:w="136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1C467BC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0.300</w:t>
            </w:r>
          </w:p>
        </w:tc>
        <w:tc>
          <w:tcPr>
            <w:tcW w:w="141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2F1C7D1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127.2</w:t>
            </w:r>
          </w:p>
        </w:tc>
      </w:tr>
      <w:tr w14:paraId="75B260B5">
        <w:tblPrEx>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3289EC0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XGBoost + GP特征</w:t>
            </w:r>
          </w:p>
        </w:tc>
        <w:tc>
          <w:tcPr>
            <w:tcW w:w="153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3BE33F3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6.4%</w:t>
            </w:r>
          </w:p>
        </w:tc>
        <w:tc>
          <w:tcPr>
            <w:tcW w:w="141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F8D0F8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0.422</w:t>
            </w:r>
          </w:p>
        </w:tc>
        <w:tc>
          <w:tcPr>
            <w:tcW w:w="1644"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F12551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-23.9%</w:t>
            </w:r>
          </w:p>
        </w:tc>
        <w:tc>
          <w:tcPr>
            <w:tcW w:w="136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46DCA50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0.285</w:t>
            </w:r>
          </w:p>
        </w:tc>
        <w:tc>
          <w:tcPr>
            <w:tcW w:w="141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17F2133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125.2</w:t>
            </w:r>
          </w:p>
        </w:tc>
      </w:tr>
    </w:tbl>
    <w:p w14:paraId="54E9E60D">
      <w:pPr>
        <w:spacing w:after="0" w:line="300" w:lineRule="auto"/>
        <w:ind w:firstLine="480" w:firstLineChars="200"/>
        <w:jc w:val="both"/>
        <w:rPr>
          <w:b w:val="0"/>
          <w:bCs w:val="0"/>
        </w:rPr>
      </w:pPr>
      <w:r>
        <w:rPr>
          <w:rFonts w:ascii="Times New Roman" w:hAnsi="Times New Roman" w:eastAsia="宋体"/>
          <w:b w:val="0"/>
          <w:bCs w:val="0"/>
          <w:color w:val="000000"/>
          <w:sz w:val="24"/>
        </w:rPr>
        <w:t>5条路径中，加入GP特征的模型仅在2条路径取得更高Sharpe比率，Sharpe中位数为0.422，低于纯XGBoost的0.450；虽然其最大回撤中位数略小，但收益和Calmar中位数也未形成优势。因此，GP特征未能表现出稳定的样本外增量价值，最终预测器选择更简单的纯XGBoost。</w:t>
      </w:r>
    </w:p>
    <w:p w14:paraId="2ECE5CF9">
      <w:pPr>
        <w:pStyle w:val="4"/>
        <w:ind w:left="0" w:leftChars="0" w:firstLine="0" w:firstLineChars="0"/>
        <w:jc w:val="left"/>
        <w:rPr>
          <w:b w:val="0"/>
          <w:bCs w:val="0"/>
        </w:rPr>
      </w:pPr>
      <w:bookmarkStart w:id="17" w:name="_Toc18847"/>
      <w:r>
        <w:rPr>
          <w:rFonts w:ascii="Times New Roman" w:hAnsi="Times New Roman" w:eastAsia="黑体"/>
          <w:b w:val="0"/>
          <w:bCs w:val="0"/>
          <w:color w:val="000000"/>
          <w:sz w:val="24"/>
        </w:rPr>
        <w:t>3.4 持仓缓冲与权重选择</w:t>
      </w:r>
      <w:bookmarkEnd w:id="17"/>
    </w:p>
    <w:p w14:paraId="1A36B662">
      <w:pPr>
        <w:spacing w:after="0" w:line="300" w:lineRule="auto"/>
        <w:ind w:firstLine="420"/>
        <w:jc w:val="both"/>
        <w:rPr>
          <w:rFonts w:ascii="Times New Roman" w:hAnsi="Times New Roman" w:eastAsia="宋体"/>
          <w:b w:val="0"/>
          <w:bCs w:val="0"/>
          <w:color w:val="000000"/>
          <w:sz w:val="24"/>
        </w:rPr>
      </w:pPr>
      <w:r>
        <w:rPr>
          <w:rFonts w:ascii="Times New Roman" w:hAnsi="Times New Roman" w:eastAsia="宋体"/>
          <w:b w:val="0"/>
          <w:bCs w:val="0"/>
          <w:color w:val="000000"/>
          <w:sz w:val="24"/>
        </w:rPr>
        <w:t>组合层主要比较不同持仓缓冲范围和权重方式。H3表示机械持有当周前三，H4允许原持仓排名第4时继续保留，H5进一步放宽至第5名。开发期结果显示，H4的Sharpe比率高于H3和H5，同时明显降低相对于H3的换手，因此最终采用H4。</w:t>
      </w:r>
    </w:p>
    <w:p w14:paraId="1E151A97">
      <w:pPr>
        <w:keepNext/>
        <w:spacing w:before="100" w:after="6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表 3.4  持仓缓冲比较</w:t>
      </w:r>
    </w:p>
    <w:tbl>
      <w:tblPr>
        <w:tblStyle w:val="34"/>
        <w:tblpPr w:leftFromText="180" w:rightFromText="180" w:vertAnchor="text" w:horzAnchor="page" w:tblpX="1624" w:tblpY="386"/>
        <w:tblOverlap w:val="never"/>
        <w:tblW w:w="0" w:type="auto"/>
        <w:tblInd w:w="0" w:type="dxa"/>
        <w:tblLayout w:type="autofit"/>
        <w:tblCellMar>
          <w:top w:w="0" w:type="dxa"/>
          <w:left w:w="108" w:type="dxa"/>
          <w:bottom w:w="0" w:type="dxa"/>
          <w:right w:w="108" w:type="dxa"/>
        </w:tblCellMar>
      </w:tblPr>
      <w:tblGrid>
        <w:gridCol w:w="2381"/>
        <w:gridCol w:w="1303"/>
        <w:gridCol w:w="1190"/>
        <w:gridCol w:w="1417"/>
        <w:gridCol w:w="1247"/>
        <w:gridCol w:w="1247"/>
      </w:tblGrid>
      <w:tr w14:paraId="08415969">
        <w:tblPrEx>
          <w:tblCellMar>
            <w:top w:w="0" w:type="dxa"/>
            <w:left w:w="108" w:type="dxa"/>
            <w:bottom w:w="0" w:type="dxa"/>
            <w:right w:w="108" w:type="dxa"/>
          </w:tblCellMar>
        </w:tblPrEx>
        <w:trPr>
          <w:cantSplit/>
        </w:trPr>
        <w:tc>
          <w:tcPr>
            <w:tcW w:w="2381"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407A19B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缓冲规则</w:t>
            </w:r>
          </w:p>
        </w:tc>
        <w:tc>
          <w:tcPr>
            <w:tcW w:w="1303"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3D0CAF4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年化收益</w:t>
            </w:r>
          </w:p>
        </w:tc>
        <w:tc>
          <w:tcPr>
            <w:tcW w:w="119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677790E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Sharpe</w:t>
            </w:r>
          </w:p>
        </w:tc>
        <w:tc>
          <w:tcPr>
            <w:tcW w:w="141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34A44DC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最大回撤</w:t>
            </w:r>
          </w:p>
        </w:tc>
        <w:tc>
          <w:tcPr>
            <w:tcW w:w="124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B7ABDE8">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调仓次数</w:t>
            </w:r>
          </w:p>
        </w:tc>
        <w:tc>
          <w:tcPr>
            <w:tcW w:w="124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10AF623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L1换手</w:t>
            </w:r>
          </w:p>
        </w:tc>
      </w:tr>
      <w:tr w14:paraId="04A197D8">
        <w:tblPrEx>
          <w:tblCellMar>
            <w:top w:w="0" w:type="dxa"/>
            <w:left w:w="108" w:type="dxa"/>
            <w:bottom w:w="0" w:type="dxa"/>
            <w:right w:w="108" w:type="dxa"/>
          </w:tblCellMar>
        </w:tblPrEx>
        <w:trPr>
          <w:cantSplit/>
        </w:trPr>
        <w:tc>
          <w:tcPr>
            <w:tcW w:w="2381"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87951B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Top3机械持有</w:t>
            </w:r>
          </w:p>
        </w:tc>
        <w:tc>
          <w:tcPr>
            <w:tcW w:w="1303"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A0D84B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8.3%</w:t>
            </w:r>
          </w:p>
        </w:tc>
        <w:tc>
          <w:tcPr>
            <w:tcW w:w="119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80FDFC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0.484</w:t>
            </w:r>
          </w:p>
        </w:tc>
        <w:tc>
          <w:tcPr>
            <w:tcW w:w="141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2F70D4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-25.4%</w:t>
            </w:r>
          </w:p>
        </w:tc>
        <w:tc>
          <w:tcPr>
            <w:tcW w:w="124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923133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150</w:t>
            </w:r>
          </w:p>
        </w:tc>
        <w:tc>
          <w:tcPr>
            <w:tcW w:w="124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45425A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157.1</w:t>
            </w:r>
          </w:p>
        </w:tc>
      </w:tr>
      <w:tr w14:paraId="1498C43E">
        <w:tblPrEx>
          <w:tblCellMar>
            <w:top w:w="0" w:type="dxa"/>
            <w:left w:w="108" w:type="dxa"/>
            <w:bottom w:w="0" w:type="dxa"/>
            <w:right w:w="108" w:type="dxa"/>
          </w:tblCellMar>
        </w:tblPrEx>
        <w:trPr>
          <w:cantSplit/>
        </w:trPr>
        <w:tc>
          <w:tcPr>
            <w:tcW w:w="2381" w:type="dxa"/>
            <w:tcBorders>
              <w:top w:val="nil"/>
              <w:left w:val="nil"/>
              <w:bottom w:val="nil"/>
              <w:right w:val="nil"/>
            </w:tcBorders>
            <w:shd w:val="clear" w:color="auto" w:fill="FFFFFF"/>
            <w:tcMar>
              <w:top w:w="60" w:type="dxa"/>
              <w:left w:w="80" w:type="dxa"/>
              <w:bottom w:w="60" w:type="dxa"/>
              <w:right w:w="80" w:type="dxa"/>
            </w:tcMar>
            <w:vAlign w:val="center"/>
          </w:tcPr>
          <w:p w14:paraId="1313930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Top3进入/Top4保留</w:t>
            </w:r>
          </w:p>
        </w:tc>
        <w:tc>
          <w:tcPr>
            <w:tcW w:w="1303" w:type="dxa"/>
            <w:tcBorders>
              <w:top w:val="nil"/>
              <w:left w:val="nil"/>
              <w:bottom w:val="nil"/>
              <w:right w:val="nil"/>
            </w:tcBorders>
            <w:shd w:val="clear" w:color="auto" w:fill="FFFFFF"/>
            <w:tcMar>
              <w:top w:w="60" w:type="dxa"/>
              <w:left w:w="80" w:type="dxa"/>
              <w:bottom w:w="60" w:type="dxa"/>
              <w:right w:w="80" w:type="dxa"/>
            </w:tcMar>
            <w:vAlign w:val="center"/>
          </w:tcPr>
          <w:p w14:paraId="0546889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9.7%</w:t>
            </w:r>
          </w:p>
        </w:tc>
        <w:tc>
          <w:tcPr>
            <w:tcW w:w="1190" w:type="dxa"/>
            <w:tcBorders>
              <w:top w:val="nil"/>
              <w:left w:val="nil"/>
              <w:bottom w:val="nil"/>
              <w:right w:val="nil"/>
            </w:tcBorders>
            <w:shd w:val="clear" w:color="auto" w:fill="FFFFFF"/>
            <w:tcMar>
              <w:top w:w="60" w:type="dxa"/>
              <w:left w:w="80" w:type="dxa"/>
              <w:bottom w:w="60" w:type="dxa"/>
              <w:right w:w="80" w:type="dxa"/>
            </w:tcMar>
            <w:vAlign w:val="center"/>
          </w:tcPr>
          <w:p w14:paraId="42BDE55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0.554</w:t>
            </w:r>
          </w:p>
        </w:tc>
        <w:tc>
          <w:tcPr>
            <w:tcW w:w="1417" w:type="dxa"/>
            <w:tcBorders>
              <w:top w:val="nil"/>
              <w:left w:val="nil"/>
              <w:bottom w:val="nil"/>
              <w:right w:val="nil"/>
            </w:tcBorders>
            <w:shd w:val="clear" w:color="auto" w:fill="FFFFFF"/>
            <w:tcMar>
              <w:top w:w="60" w:type="dxa"/>
              <w:left w:w="80" w:type="dxa"/>
              <w:bottom w:w="60" w:type="dxa"/>
              <w:right w:w="80" w:type="dxa"/>
            </w:tcMar>
            <w:vAlign w:val="center"/>
          </w:tcPr>
          <w:p w14:paraId="016B965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-23.4%</w:t>
            </w:r>
          </w:p>
        </w:tc>
        <w:tc>
          <w:tcPr>
            <w:tcW w:w="1247" w:type="dxa"/>
            <w:tcBorders>
              <w:top w:val="nil"/>
              <w:left w:val="nil"/>
              <w:bottom w:val="nil"/>
              <w:right w:val="nil"/>
            </w:tcBorders>
            <w:shd w:val="clear" w:color="auto" w:fill="FFFFFF"/>
            <w:tcMar>
              <w:top w:w="60" w:type="dxa"/>
              <w:left w:w="80" w:type="dxa"/>
              <w:bottom w:w="60" w:type="dxa"/>
              <w:right w:w="80" w:type="dxa"/>
            </w:tcMar>
            <w:vAlign w:val="center"/>
          </w:tcPr>
          <w:p w14:paraId="5C9F11A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136</w:t>
            </w:r>
          </w:p>
        </w:tc>
        <w:tc>
          <w:tcPr>
            <w:tcW w:w="1247" w:type="dxa"/>
            <w:tcBorders>
              <w:top w:val="nil"/>
              <w:left w:val="nil"/>
              <w:bottom w:val="nil"/>
              <w:right w:val="nil"/>
            </w:tcBorders>
            <w:shd w:val="clear" w:color="auto" w:fill="FFFFFF"/>
            <w:tcMar>
              <w:top w:w="60" w:type="dxa"/>
              <w:left w:w="80" w:type="dxa"/>
              <w:bottom w:w="60" w:type="dxa"/>
              <w:right w:w="80" w:type="dxa"/>
            </w:tcMar>
            <w:vAlign w:val="center"/>
          </w:tcPr>
          <w:p w14:paraId="398B2F4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125.2</w:t>
            </w:r>
          </w:p>
        </w:tc>
      </w:tr>
      <w:tr w14:paraId="1057938E">
        <w:tblPrEx>
          <w:tblCellMar>
            <w:top w:w="0" w:type="dxa"/>
            <w:left w:w="108" w:type="dxa"/>
            <w:bottom w:w="0" w:type="dxa"/>
            <w:right w:w="108" w:type="dxa"/>
          </w:tblCellMar>
        </w:tblPrEx>
        <w:trPr>
          <w:cantSplit/>
        </w:trPr>
        <w:tc>
          <w:tcPr>
            <w:tcW w:w="2381"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7B28540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Top3进入/Top5保留</w:t>
            </w:r>
          </w:p>
        </w:tc>
        <w:tc>
          <w:tcPr>
            <w:tcW w:w="1303"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8AC60D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9.7%</w:t>
            </w:r>
          </w:p>
        </w:tc>
        <w:tc>
          <w:tcPr>
            <w:tcW w:w="119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10B5042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0.551</w:t>
            </w:r>
          </w:p>
        </w:tc>
        <w:tc>
          <w:tcPr>
            <w:tcW w:w="141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8FA139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-24.9%</w:t>
            </w:r>
          </w:p>
        </w:tc>
        <w:tc>
          <w:tcPr>
            <w:tcW w:w="124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51361EF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107</w:t>
            </w:r>
          </w:p>
        </w:tc>
        <w:tc>
          <w:tcPr>
            <w:tcW w:w="124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151802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93.9</w:t>
            </w:r>
          </w:p>
        </w:tc>
      </w:tr>
    </w:tbl>
    <w:p w14:paraId="3FA81724">
      <w:pPr>
        <w:spacing w:after="0" w:line="300" w:lineRule="auto"/>
        <w:jc w:val="both"/>
        <w:rPr>
          <w:rFonts w:ascii="Times New Roman" w:hAnsi="Times New Roman" w:eastAsia="宋体"/>
          <w:b w:val="0"/>
          <w:bCs w:val="0"/>
          <w:color w:val="000000"/>
          <w:sz w:val="24"/>
        </w:rPr>
      </w:pPr>
    </w:p>
    <w:p w14:paraId="7E94D4A0">
      <w:pPr>
        <w:spacing w:after="0" w:line="300" w:lineRule="auto"/>
        <w:ind w:firstLine="420"/>
        <w:jc w:val="both"/>
        <w:rPr>
          <w:b w:val="0"/>
          <w:bCs w:val="0"/>
        </w:rPr>
      </w:pPr>
      <w:r>
        <w:rPr>
          <w:rFonts w:ascii="Times New Roman" w:hAnsi="Times New Roman" w:eastAsia="宋体"/>
          <w:b w:val="0"/>
          <w:bCs w:val="0"/>
          <w:color w:val="000000"/>
          <w:sz w:val="24"/>
        </w:rPr>
        <w:t>在持仓缓冲确定后，进一步比较等权与20日逆波动率配置。逆波动率版本年化收益10.51%、Sharpe比率0.606、最大回撤-20.74%，均优于等权版本，因此最终采用20日逆波动率权重。该比较用于确定组合风险分配方式，不改变XGBoost的横截面排序逻辑。</w:t>
      </w:r>
    </w:p>
    <w:p w14:paraId="521C00C1">
      <w:pPr>
        <w:keepNext/>
        <w:spacing w:before="100" w:after="60"/>
        <w:jc w:val="center"/>
        <w:rPr>
          <w:b w:val="0"/>
          <w:bCs w:val="0"/>
        </w:rPr>
      </w:pPr>
      <w:r>
        <w:rPr>
          <w:rFonts w:ascii="Times New Roman" w:hAnsi="Times New Roman" w:eastAsia="宋体"/>
          <w:b w:val="0"/>
          <w:bCs w:val="0"/>
          <w:color w:val="000000"/>
          <w:sz w:val="21"/>
        </w:rPr>
        <w:t>表 3.5  权重方式比较</w:t>
      </w:r>
    </w:p>
    <w:tbl>
      <w:tblPr>
        <w:tblStyle w:val="34"/>
        <w:tblW w:w="0" w:type="auto"/>
        <w:jc w:val="center"/>
        <w:tblLayout w:type="autofit"/>
        <w:tblCellMar>
          <w:top w:w="0" w:type="dxa"/>
          <w:left w:w="108" w:type="dxa"/>
          <w:bottom w:w="0" w:type="dxa"/>
          <w:right w:w="108" w:type="dxa"/>
        </w:tblCellMar>
      </w:tblPr>
      <w:tblGrid>
        <w:gridCol w:w="3143"/>
        <w:gridCol w:w="1240"/>
        <w:gridCol w:w="1240"/>
        <w:gridCol w:w="1128"/>
        <w:gridCol w:w="1352"/>
        <w:gridCol w:w="1129"/>
      </w:tblGrid>
      <w:tr w14:paraId="6768D20A">
        <w:trPr>
          <w:cantSplit/>
          <w:jc w:val="center"/>
        </w:trPr>
        <w:tc>
          <w:tcPr>
            <w:tcW w:w="3174"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6A5E26C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权重方式</w:t>
            </w:r>
          </w:p>
        </w:tc>
        <w:tc>
          <w:tcPr>
            <w:tcW w:w="124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46E8B68">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年化收益</w:t>
            </w:r>
          </w:p>
        </w:tc>
        <w:tc>
          <w:tcPr>
            <w:tcW w:w="124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3683B28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年化波动</w:t>
            </w:r>
          </w:p>
        </w:tc>
        <w:tc>
          <w:tcPr>
            <w:tcW w:w="1133"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6F3350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Sharpe</w:t>
            </w:r>
          </w:p>
        </w:tc>
        <w:tc>
          <w:tcPr>
            <w:tcW w:w="136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50EF92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最大回撤</w:t>
            </w:r>
          </w:p>
        </w:tc>
        <w:tc>
          <w:tcPr>
            <w:tcW w:w="1133"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415A36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Calmar</w:t>
            </w:r>
          </w:p>
        </w:tc>
      </w:tr>
      <w:tr w14:paraId="72C04E71">
        <w:tblPrEx>
          <w:tblCellMar>
            <w:top w:w="0" w:type="dxa"/>
            <w:left w:w="108" w:type="dxa"/>
            <w:bottom w:w="0" w:type="dxa"/>
            <w:right w:w="108" w:type="dxa"/>
          </w:tblCellMar>
        </w:tblPrEx>
        <w:trPr>
          <w:cantSplit/>
          <w:jc w:val="center"/>
        </w:trPr>
        <w:tc>
          <w:tcPr>
            <w:tcW w:w="3174"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9A63F3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Top3进入/Top4保留 + 等权</w:t>
            </w:r>
          </w:p>
        </w:tc>
        <w:tc>
          <w:tcPr>
            <w:tcW w:w="124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2D9FA84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9.7%</w:t>
            </w:r>
          </w:p>
        </w:tc>
        <w:tc>
          <w:tcPr>
            <w:tcW w:w="124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521A746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19.2%</w:t>
            </w:r>
          </w:p>
        </w:tc>
        <w:tc>
          <w:tcPr>
            <w:tcW w:w="1133"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594D7C8">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0.554</w:t>
            </w:r>
          </w:p>
        </w:tc>
        <w:tc>
          <w:tcPr>
            <w:tcW w:w="136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76E5B6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-23.4%</w:t>
            </w:r>
          </w:p>
        </w:tc>
        <w:tc>
          <w:tcPr>
            <w:tcW w:w="1133"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1B98C1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0.417</w:t>
            </w:r>
          </w:p>
        </w:tc>
      </w:tr>
      <w:tr w14:paraId="1A2F0017">
        <w:tblPrEx>
          <w:tblCellMar>
            <w:top w:w="0" w:type="dxa"/>
            <w:left w:w="108" w:type="dxa"/>
            <w:bottom w:w="0" w:type="dxa"/>
            <w:right w:w="108" w:type="dxa"/>
          </w:tblCellMar>
        </w:tblPrEx>
        <w:trPr>
          <w:cantSplit/>
          <w:jc w:val="center"/>
        </w:trPr>
        <w:tc>
          <w:tcPr>
            <w:tcW w:w="3174"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4F98A51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Top3进入/Top4保留 + 20日逆波动</w:t>
            </w:r>
          </w:p>
        </w:tc>
        <w:tc>
          <w:tcPr>
            <w:tcW w:w="124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7D38AB3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10.5%</w:t>
            </w:r>
          </w:p>
        </w:tc>
        <w:tc>
          <w:tcPr>
            <w:tcW w:w="124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7E86568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18.4%</w:t>
            </w:r>
          </w:p>
        </w:tc>
        <w:tc>
          <w:tcPr>
            <w:tcW w:w="1133"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5C38284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0.606</w:t>
            </w:r>
          </w:p>
        </w:tc>
        <w:tc>
          <w:tcPr>
            <w:tcW w:w="136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334399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-20.7%</w:t>
            </w:r>
          </w:p>
        </w:tc>
        <w:tc>
          <w:tcPr>
            <w:tcW w:w="1133"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DDF0938">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0.507</w:t>
            </w:r>
          </w:p>
        </w:tc>
      </w:tr>
    </w:tbl>
    <w:p w14:paraId="36D6D7BE">
      <w:pPr>
        <w:spacing w:after="0"/>
        <w:rPr>
          <w:b w:val="0"/>
          <w:bCs w:val="0"/>
        </w:rPr>
      </w:pPr>
    </w:p>
    <w:p w14:paraId="3EB93EF0">
      <w:pPr>
        <w:pStyle w:val="4"/>
        <w:ind w:left="0" w:leftChars="0" w:firstLine="0" w:firstLineChars="0"/>
        <w:jc w:val="left"/>
        <w:rPr>
          <w:b w:val="0"/>
          <w:bCs w:val="0"/>
        </w:rPr>
      </w:pPr>
      <w:bookmarkStart w:id="18" w:name="_Toc26745"/>
      <w:r>
        <w:rPr>
          <w:rFonts w:ascii="Times New Roman" w:hAnsi="Times New Roman" w:eastAsia="黑体"/>
          <w:b w:val="0"/>
          <w:bCs w:val="0"/>
          <w:color w:val="000000"/>
          <w:sz w:val="24"/>
        </w:rPr>
        <w:t>3.5 基准与评价指标</w:t>
      </w:r>
      <w:bookmarkEnd w:id="18"/>
    </w:p>
    <w:p w14:paraId="7C3C7003">
      <w:pPr>
        <w:spacing w:after="0" w:line="300" w:lineRule="auto"/>
        <w:ind w:firstLine="420"/>
        <w:jc w:val="both"/>
        <w:rPr>
          <w:b w:val="0"/>
          <w:bCs w:val="0"/>
        </w:rPr>
      </w:pPr>
      <w:r>
        <w:rPr>
          <w:rFonts w:ascii="Times New Roman" w:hAnsi="Times New Roman" w:eastAsia="宋体"/>
          <w:b w:val="0"/>
          <w:bCs w:val="0"/>
          <w:color w:val="000000"/>
          <w:sz w:val="24"/>
        </w:rPr>
        <w:t>组合表现使用三类基准进行比较。第一类为10只ETF等权买入持有，用于观察主动轮动相对于简单分散配置是否产生增量；第二类为固定20日动量Top3，用于比较机器学习排序与传统动量规则；第三类为XGBoost Top3基准，即只根据XGBoost最新排序机械持有前三，不使用Top4持仓缓冲和逆波动率权重，用于识别组合层规则自身的影响。</w:t>
      </w:r>
    </w:p>
    <w:p w14:paraId="237FAECB">
      <w:pPr>
        <w:spacing w:after="0" w:line="300" w:lineRule="auto"/>
        <w:ind w:firstLine="420"/>
        <w:jc w:val="both"/>
        <w:rPr>
          <w:b w:val="0"/>
          <w:bCs w:val="0"/>
        </w:rPr>
      </w:pPr>
      <w:r>
        <w:rPr>
          <w:rFonts w:ascii="Times New Roman" w:hAnsi="Times New Roman" w:eastAsia="宋体"/>
          <w:b w:val="0"/>
          <w:bCs w:val="0"/>
          <w:color w:val="000000"/>
          <w:sz w:val="24"/>
        </w:rPr>
        <w:t>收益层评价包括累计收益、年化收益、年化波动、Sharpe比率、最大回撤和Calmar比率，同时记录调仓次数与L1换手。预测层使用RankIC、Top3重合率以及预测第一名进入实际Top3的比例。净值（Net Asset Value，NAV）统一按照起始资金标准化计算；Calmar比率定义为年化收益与最大回撤绝对值之比。</w:t>
      </w:r>
    </w:p>
    <w:p w14:paraId="237BAE8B">
      <w:pPr>
        <w:pStyle w:val="3"/>
        <w:jc w:val="center"/>
        <w:rPr>
          <w:b w:val="0"/>
          <w:bCs w:val="0"/>
        </w:rPr>
      </w:pPr>
      <w:bookmarkStart w:id="19" w:name="_Toc31320"/>
      <w:r>
        <w:rPr>
          <w:rFonts w:ascii="Times New Roman" w:hAnsi="Times New Roman" w:eastAsia="黑体"/>
          <w:b w:val="0"/>
          <w:bCs w:val="0"/>
          <w:color w:val="000000"/>
          <w:sz w:val="28"/>
        </w:rPr>
        <w:t>第 4 章  策略表现与结果分析</w:t>
      </w:r>
      <w:bookmarkEnd w:id="19"/>
    </w:p>
    <w:p w14:paraId="22D1FEA4">
      <w:pPr>
        <w:pStyle w:val="4"/>
        <w:ind w:left="0" w:leftChars="0" w:firstLine="0" w:firstLineChars="0"/>
        <w:jc w:val="left"/>
        <w:rPr>
          <w:b w:val="0"/>
          <w:bCs w:val="0"/>
        </w:rPr>
      </w:pPr>
      <w:bookmarkStart w:id="20" w:name="_Toc20647"/>
      <w:r>
        <w:rPr>
          <w:rFonts w:ascii="Times New Roman" w:hAnsi="Times New Roman" w:eastAsia="黑体"/>
          <w:b w:val="0"/>
          <w:bCs w:val="0"/>
          <w:color w:val="000000"/>
          <w:sz w:val="24"/>
        </w:rPr>
        <w:t>4.1 开发期表现</w:t>
      </w:r>
      <w:bookmarkEnd w:id="20"/>
    </w:p>
    <w:p w14:paraId="6039223B">
      <w:pPr>
        <w:spacing w:after="0" w:line="300" w:lineRule="auto"/>
        <w:ind w:firstLine="420"/>
        <w:jc w:val="both"/>
        <w:rPr>
          <w:b w:val="0"/>
          <w:bCs w:val="0"/>
        </w:rPr>
      </w:pPr>
      <w:r>
        <w:rPr>
          <w:rFonts w:ascii="Times New Roman" w:hAnsi="Times New Roman" w:eastAsia="宋体"/>
          <w:b w:val="0"/>
          <w:bCs w:val="0"/>
          <w:color w:val="000000"/>
          <w:sz w:val="24"/>
        </w:rPr>
        <w:t>最终模型和组合规则确定后，按照统一规则重新计算开发期策略。开发期日频净值从2023年1月3日延续至2026年6月12日，最终净值为1.38665，累计收益38.67%，年化收益10.41%，年化波动19.94%，Sharpe比率0.570，最大回撤-24.74%。</w:t>
      </w:r>
    </w:p>
    <w:p w14:paraId="5A607EAD">
      <w:pPr>
        <w:keepNext/>
        <w:jc w:val="center"/>
        <w:rPr>
          <w:b w:val="0"/>
          <w:bCs w:val="0"/>
        </w:rPr>
      </w:pPr>
      <w:r>
        <w:rPr>
          <w:b w:val="0"/>
          <w:bCs w:val="0"/>
        </w:rPr>
        <w:drawing>
          <wp:inline distT="0" distB="0" distL="114300" distR="114300">
            <wp:extent cx="5532120" cy="320992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32120" cy="3210478"/>
                    </a:xfrm>
                    <a:prstGeom prst="rect">
                      <a:avLst/>
                    </a:prstGeom>
                  </pic:spPr>
                </pic:pic>
              </a:graphicData>
            </a:graphic>
          </wp:inline>
        </w:drawing>
      </w:r>
    </w:p>
    <w:p w14:paraId="39AD9FBA">
      <w:pPr>
        <w:spacing w:after="0"/>
        <w:jc w:val="center"/>
        <w:rPr>
          <w:b w:val="0"/>
          <w:bCs w:val="0"/>
        </w:rPr>
      </w:pPr>
      <w:r>
        <w:rPr>
          <w:rFonts w:ascii="Times New Roman" w:hAnsi="Times New Roman" w:eastAsia="宋体"/>
          <w:b w:val="0"/>
          <w:bCs w:val="0"/>
          <w:color w:val="000000"/>
          <w:sz w:val="21"/>
        </w:rPr>
        <w:t>图 4.1  最终策略开发期净值</w:t>
      </w:r>
    </w:p>
    <w:p w14:paraId="0665AE24">
      <w:pPr>
        <w:keepNext/>
        <w:spacing w:before="100" w:after="60"/>
        <w:jc w:val="center"/>
        <w:rPr>
          <w:b w:val="0"/>
          <w:bCs w:val="0"/>
        </w:rPr>
      </w:pPr>
      <w:r>
        <w:rPr>
          <w:rFonts w:ascii="Times New Roman" w:hAnsi="Times New Roman" w:eastAsia="宋体"/>
          <w:b w:val="0"/>
          <w:bCs w:val="0"/>
          <w:color w:val="000000"/>
          <w:sz w:val="21"/>
        </w:rPr>
        <w:t>表 4.1  开发期策略绩效</w:t>
      </w:r>
    </w:p>
    <w:tbl>
      <w:tblPr>
        <w:tblStyle w:val="34"/>
        <w:tblW w:w="0" w:type="auto"/>
        <w:jc w:val="center"/>
        <w:tblLayout w:type="autofit"/>
        <w:tblCellMar>
          <w:top w:w="0" w:type="dxa"/>
          <w:left w:w="108" w:type="dxa"/>
          <w:bottom w:w="0" w:type="dxa"/>
          <w:right w:w="108" w:type="dxa"/>
        </w:tblCellMar>
      </w:tblPr>
      <w:tblGrid>
        <w:gridCol w:w="1190"/>
        <w:gridCol w:w="1190"/>
        <w:gridCol w:w="1190"/>
        <w:gridCol w:w="1020"/>
        <w:gridCol w:w="1247"/>
        <w:gridCol w:w="1020"/>
        <w:gridCol w:w="1133"/>
        <w:gridCol w:w="1133"/>
      </w:tblGrid>
      <w:tr w14:paraId="5DE1F67F">
        <w:tblPrEx>
          <w:tblCellMar>
            <w:top w:w="0" w:type="dxa"/>
            <w:left w:w="108" w:type="dxa"/>
            <w:bottom w:w="0" w:type="dxa"/>
            <w:right w:w="108" w:type="dxa"/>
          </w:tblCellMar>
        </w:tblPrEx>
        <w:trPr>
          <w:cantSplit/>
          <w:jc w:val="center"/>
        </w:trPr>
        <w:tc>
          <w:tcPr>
            <w:tcW w:w="1190"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1D1AD87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累计收益</w:t>
            </w:r>
          </w:p>
        </w:tc>
        <w:tc>
          <w:tcPr>
            <w:tcW w:w="119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0C8CF338">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年化收益</w:t>
            </w:r>
          </w:p>
        </w:tc>
        <w:tc>
          <w:tcPr>
            <w:tcW w:w="119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18BEF6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年化波动</w:t>
            </w:r>
          </w:p>
        </w:tc>
        <w:tc>
          <w:tcPr>
            <w:tcW w:w="102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03C85C7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Sharpe</w:t>
            </w:r>
          </w:p>
        </w:tc>
        <w:tc>
          <w:tcPr>
            <w:tcW w:w="124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334D6B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最大回撤</w:t>
            </w:r>
          </w:p>
        </w:tc>
        <w:tc>
          <w:tcPr>
            <w:tcW w:w="102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5EE8DD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Calmar</w:t>
            </w:r>
          </w:p>
        </w:tc>
        <w:tc>
          <w:tcPr>
            <w:tcW w:w="1133"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3D6746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调仓次数</w:t>
            </w:r>
          </w:p>
        </w:tc>
        <w:tc>
          <w:tcPr>
            <w:tcW w:w="1133"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11ED66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L1换手</w:t>
            </w:r>
          </w:p>
        </w:tc>
      </w:tr>
      <w:tr w14:paraId="3B9A23B9">
        <w:tblPrEx>
          <w:tblCellMar>
            <w:top w:w="0" w:type="dxa"/>
            <w:left w:w="108" w:type="dxa"/>
            <w:bottom w:w="0" w:type="dxa"/>
            <w:right w:w="108" w:type="dxa"/>
          </w:tblCellMar>
        </w:tblPrEx>
        <w:trPr>
          <w:cantSplit/>
          <w:jc w:val="center"/>
        </w:trPr>
        <w:tc>
          <w:tcPr>
            <w:tcW w:w="1190" w:type="dxa"/>
            <w:tcBorders>
              <w:top w:val="single" w:color="000000" w:sz="4" w:space="0"/>
              <w:left w:val="nil"/>
              <w:bottom w:val="single" w:color="000000" w:sz="12" w:space="0"/>
              <w:right w:val="nil"/>
            </w:tcBorders>
            <w:shd w:val="clear" w:color="auto" w:fill="FFFFFF"/>
            <w:tcMar>
              <w:top w:w="60" w:type="dxa"/>
              <w:left w:w="80" w:type="dxa"/>
              <w:bottom w:w="60" w:type="dxa"/>
              <w:right w:w="80" w:type="dxa"/>
            </w:tcMar>
            <w:vAlign w:val="center"/>
          </w:tcPr>
          <w:p w14:paraId="6E25EFD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38.7%</w:t>
            </w:r>
          </w:p>
        </w:tc>
        <w:tc>
          <w:tcPr>
            <w:tcW w:w="1190" w:type="dxa"/>
            <w:tcBorders>
              <w:top w:val="single" w:color="000000" w:sz="4" w:space="0"/>
              <w:left w:val="nil"/>
              <w:bottom w:val="single" w:color="000000" w:sz="12" w:space="0"/>
              <w:right w:val="nil"/>
            </w:tcBorders>
            <w:shd w:val="clear" w:color="auto" w:fill="FFFFFF"/>
            <w:tcMar>
              <w:top w:w="60" w:type="dxa"/>
              <w:left w:w="80" w:type="dxa"/>
              <w:bottom w:w="60" w:type="dxa"/>
              <w:right w:w="80" w:type="dxa"/>
            </w:tcMar>
            <w:vAlign w:val="center"/>
          </w:tcPr>
          <w:p w14:paraId="17C9A2B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10.4%</w:t>
            </w:r>
          </w:p>
        </w:tc>
        <w:tc>
          <w:tcPr>
            <w:tcW w:w="1190" w:type="dxa"/>
            <w:tcBorders>
              <w:top w:val="single" w:color="000000" w:sz="4" w:space="0"/>
              <w:left w:val="nil"/>
              <w:bottom w:val="single" w:color="000000" w:sz="12" w:space="0"/>
              <w:right w:val="nil"/>
            </w:tcBorders>
            <w:shd w:val="clear" w:color="auto" w:fill="FFFFFF"/>
            <w:tcMar>
              <w:top w:w="60" w:type="dxa"/>
              <w:left w:w="80" w:type="dxa"/>
              <w:bottom w:w="60" w:type="dxa"/>
              <w:right w:w="80" w:type="dxa"/>
            </w:tcMar>
            <w:vAlign w:val="center"/>
          </w:tcPr>
          <w:p w14:paraId="7756769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19.9%</w:t>
            </w:r>
          </w:p>
        </w:tc>
        <w:tc>
          <w:tcPr>
            <w:tcW w:w="1020" w:type="dxa"/>
            <w:tcBorders>
              <w:top w:val="single" w:color="000000" w:sz="4" w:space="0"/>
              <w:left w:val="nil"/>
              <w:bottom w:val="single" w:color="000000" w:sz="12" w:space="0"/>
              <w:right w:val="nil"/>
            </w:tcBorders>
            <w:shd w:val="clear" w:color="auto" w:fill="FFFFFF"/>
            <w:tcMar>
              <w:top w:w="60" w:type="dxa"/>
              <w:left w:w="80" w:type="dxa"/>
              <w:bottom w:w="60" w:type="dxa"/>
              <w:right w:w="80" w:type="dxa"/>
            </w:tcMar>
            <w:vAlign w:val="center"/>
          </w:tcPr>
          <w:p w14:paraId="38A2682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0.570</w:t>
            </w:r>
          </w:p>
        </w:tc>
        <w:tc>
          <w:tcPr>
            <w:tcW w:w="1247" w:type="dxa"/>
            <w:tcBorders>
              <w:top w:val="single" w:color="000000" w:sz="4" w:space="0"/>
              <w:left w:val="nil"/>
              <w:bottom w:val="single" w:color="000000" w:sz="12" w:space="0"/>
              <w:right w:val="nil"/>
            </w:tcBorders>
            <w:shd w:val="clear" w:color="auto" w:fill="FFFFFF"/>
            <w:tcMar>
              <w:top w:w="60" w:type="dxa"/>
              <w:left w:w="80" w:type="dxa"/>
              <w:bottom w:w="60" w:type="dxa"/>
              <w:right w:w="80" w:type="dxa"/>
            </w:tcMar>
            <w:vAlign w:val="center"/>
          </w:tcPr>
          <w:p w14:paraId="45B608D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-24.7%</w:t>
            </w:r>
          </w:p>
        </w:tc>
        <w:tc>
          <w:tcPr>
            <w:tcW w:w="1020" w:type="dxa"/>
            <w:tcBorders>
              <w:top w:val="single" w:color="000000" w:sz="4" w:space="0"/>
              <w:left w:val="nil"/>
              <w:bottom w:val="single" w:color="000000" w:sz="12" w:space="0"/>
              <w:right w:val="nil"/>
            </w:tcBorders>
            <w:shd w:val="clear" w:color="auto" w:fill="FFFFFF"/>
            <w:tcMar>
              <w:top w:w="60" w:type="dxa"/>
              <w:left w:w="80" w:type="dxa"/>
              <w:bottom w:w="60" w:type="dxa"/>
              <w:right w:w="80" w:type="dxa"/>
            </w:tcMar>
            <w:vAlign w:val="center"/>
          </w:tcPr>
          <w:p w14:paraId="3F4D230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0.421</w:t>
            </w:r>
          </w:p>
        </w:tc>
        <w:tc>
          <w:tcPr>
            <w:tcW w:w="1133" w:type="dxa"/>
            <w:tcBorders>
              <w:top w:val="single" w:color="000000" w:sz="4" w:space="0"/>
              <w:left w:val="nil"/>
              <w:bottom w:val="single" w:color="000000" w:sz="12" w:space="0"/>
              <w:right w:val="nil"/>
            </w:tcBorders>
            <w:shd w:val="clear" w:color="auto" w:fill="FFFFFF"/>
            <w:tcMar>
              <w:top w:w="60" w:type="dxa"/>
              <w:left w:w="80" w:type="dxa"/>
              <w:bottom w:w="60" w:type="dxa"/>
              <w:right w:w="80" w:type="dxa"/>
            </w:tcMar>
            <w:vAlign w:val="center"/>
          </w:tcPr>
          <w:p w14:paraId="0957818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120</w:t>
            </w:r>
          </w:p>
        </w:tc>
        <w:tc>
          <w:tcPr>
            <w:tcW w:w="1133" w:type="dxa"/>
            <w:tcBorders>
              <w:top w:val="single" w:color="000000" w:sz="4" w:space="0"/>
              <w:left w:val="nil"/>
              <w:bottom w:val="single" w:color="000000" w:sz="12" w:space="0"/>
              <w:right w:val="nil"/>
            </w:tcBorders>
            <w:shd w:val="clear" w:color="auto" w:fill="FFFFFF"/>
            <w:tcMar>
              <w:top w:w="60" w:type="dxa"/>
              <w:left w:w="80" w:type="dxa"/>
              <w:bottom w:w="60" w:type="dxa"/>
              <w:right w:w="80" w:type="dxa"/>
            </w:tcMar>
            <w:vAlign w:val="center"/>
          </w:tcPr>
          <w:p w14:paraId="6972F82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110.5</w:t>
            </w:r>
          </w:p>
        </w:tc>
      </w:tr>
    </w:tbl>
    <w:p w14:paraId="296A536A">
      <w:pPr>
        <w:spacing w:after="0"/>
        <w:rPr>
          <w:b w:val="0"/>
          <w:bCs w:val="0"/>
        </w:rPr>
      </w:pPr>
    </w:p>
    <w:p w14:paraId="35E9D2C5">
      <w:pPr>
        <w:spacing w:after="0" w:line="300" w:lineRule="auto"/>
        <w:ind w:firstLine="420"/>
        <w:jc w:val="both"/>
        <w:rPr>
          <w:b w:val="0"/>
          <w:bCs w:val="0"/>
        </w:rPr>
      </w:pPr>
      <w:r>
        <w:rPr>
          <w:rFonts w:ascii="Times New Roman" w:hAnsi="Times New Roman" w:eastAsia="宋体"/>
          <w:b w:val="0"/>
          <w:bCs w:val="0"/>
          <w:color w:val="000000"/>
          <w:sz w:val="24"/>
        </w:rPr>
        <w:t>开发期共有172个可评价周度信号，平均RankIC为0.0318，中位数为0.0121，正RankIC比例约50.6%。这些数值表明预测信号整体偏弱，但并非完全随机；组合收益同时受到持仓缓冲降低换手和逆波动率控制风险暴露的影响。因此，开发期结果主要用于描述策略在既定规则下的历史表现，不能替代最终独立测试。</w:t>
      </w:r>
    </w:p>
    <w:p w14:paraId="5DBB6681">
      <w:pPr>
        <w:pStyle w:val="4"/>
        <w:ind w:left="0" w:leftChars="0" w:firstLine="0" w:firstLineChars="0"/>
        <w:jc w:val="left"/>
        <w:rPr>
          <w:b w:val="0"/>
          <w:bCs w:val="0"/>
        </w:rPr>
      </w:pPr>
      <w:bookmarkStart w:id="21" w:name="_Toc25702"/>
      <w:r>
        <w:rPr>
          <w:rFonts w:ascii="Times New Roman" w:hAnsi="Times New Roman" w:eastAsia="黑体"/>
          <w:b w:val="0"/>
          <w:bCs w:val="0"/>
          <w:color w:val="000000"/>
          <w:sz w:val="24"/>
        </w:rPr>
        <w:t>4.2 最终独立测试集表现</w:t>
      </w:r>
      <w:bookmarkEnd w:id="21"/>
    </w:p>
    <w:p w14:paraId="10940935">
      <w:pPr>
        <w:spacing w:after="0" w:line="300" w:lineRule="auto"/>
        <w:ind w:firstLine="420"/>
        <w:jc w:val="both"/>
        <w:rPr>
          <w:b w:val="0"/>
          <w:bCs w:val="0"/>
        </w:rPr>
      </w:pPr>
      <w:r>
        <w:rPr>
          <w:rFonts w:ascii="Times New Roman" w:hAnsi="Times New Roman" w:eastAsia="宋体"/>
          <w:b w:val="0"/>
          <w:bCs w:val="0"/>
          <w:color w:val="000000"/>
          <w:sz w:val="24"/>
        </w:rPr>
        <w:t>2026年6月15日至8月28日作为最终独立测试期，在前述模型与交易规则确定后一次性使用。该阶段共54个交易日，策略延续开发期末的实际持仓状态，不在测试期起点人为重置组合。</w:t>
      </w:r>
    </w:p>
    <w:p w14:paraId="7582FF35">
      <w:pPr>
        <w:keepNext/>
        <w:jc w:val="center"/>
        <w:rPr>
          <w:b w:val="0"/>
          <w:bCs w:val="0"/>
        </w:rPr>
      </w:pPr>
      <w:r>
        <w:rPr>
          <w:b w:val="0"/>
          <w:bCs w:val="0"/>
        </w:rPr>
        <w:drawing>
          <wp:inline distT="0" distB="0" distL="114300" distR="114300">
            <wp:extent cx="5532120" cy="31997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32120" cy="3200195"/>
                    </a:xfrm>
                    <a:prstGeom prst="rect">
                      <a:avLst/>
                    </a:prstGeom>
                  </pic:spPr>
                </pic:pic>
              </a:graphicData>
            </a:graphic>
          </wp:inline>
        </w:drawing>
      </w:r>
    </w:p>
    <w:p w14:paraId="37D9119A">
      <w:pPr>
        <w:spacing w:after="0"/>
        <w:jc w:val="center"/>
        <w:rPr>
          <w:b w:val="0"/>
          <w:bCs w:val="0"/>
        </w:rPr>
      </w:pPr>
      <w:r>
        <w:rPr>
          <w:rFonts w:ascii="Times New Roman" w:hAnsi="Times New Roman" w:eastAsia="宋体"/>
          <w:b w:val="0"/>
          <w:bCs w:val="0"/>
          <w:color w:val="000000"/>
          <w:sz w:val="21"/>
        </w:rPr>
        <w:t>图 4.2  最终独立测试期策略与基准净值</w:t>
      </w:r>
    </w:p>
    <w:p w14:paraId="7AE29710">
      <w:pPr>
        <w:keepNext/>
        <w:spacing w:before="100" w:after="60"/>
        <w:jc w:val="center"/>
        <w:rPr>
          <w:b w:val="0"/>
          <w:bCs w:val="0"/>
        </w:rPr>
      </w:pPr>
      <w:r>
        <w:rPr>
          <w:rFonts w:ascii="Times New Roman" w:hAnsi="Times New Roman" w:eastAsia="宋体"/>
          <w:b w:val="0"/>
          <w:bCs w:val="0"/>
          <w:color w:val="000000"/>
          <w:sz w:val="21"/>
        </w:rPr>
        <w:t>表 4.2  最终独立测试期策略与基准</w:t>
      </w:r>
    </w:p>
    <w:tbl>
      <w:tblPr>
        <w:tblStyle w:val="34"/>
        <w:tblW w:w="0" w:type="auto"/>
        <w:jc w:val="center"/>
        <w:tblLayout w:type="autofit"/>
        <w:tblCellMar>
          <w:top w:w="0" w:type="dxa"/>
          <w:left w:w="108" w:type="dxa"/>
          <w:bottom w:w="0" w:type="dxa"/>
          <w:right w:w="108" w:type="dxa"/>
        </w:tblCellMar>
      </w:tblPr>
      <w:tblGrid>
        <w:gridCol w:w="2361"/>
        <w:gridCol w:w="1126"/>
        <w:gridCol w:w="1184"/>
        <w:gridCol w:w="1073"/>
        <w:gridCol w:w="1240"/>
        <w:gridCol w:w="1123"/>
        <w:gridCol w:w="1125"/>
      </w:tblGrid>
      <w:tr w14:paraId="342D1028">
        <w:tblPrEx>
          <w:tblCellMar>
            <w:top w:w="0" w:type="dxa"/>
            <w:left w:w="108" w:type="dxa"/>
            <w:bottom w:w="0" w:type="dxa"/>
            <w:right w:w="108" w:type="dxa"/>
          </w:tblCellMar>
        </w:tblPrEx>
        <w:trPr>
          <w:cantSplit/>
          <w:jc w:val="center"/>
        </w:trPr>
        <w:tc>
          <w:tcPr>
            <w:tcW w:w="2381"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0B105C8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策略</w:t>
            </w:r>
          </w:p>
        </w:tc>
        <w:tc>
          <w:tcPr>
            <w:tcW w:w="1133"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15F1B1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累计收益</w:t>
            </w:r>
          </w:p>
        </w:tc>
        <w:tc>
          <w:tcPr>
            <w:tcW w:w="119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58BFD1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年化波动</w:t>
            </w:r>
          </w:p>
        </w:tc>
        <w:tc>
          <w:tcPr>
            <w:tcW w:w="107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E2C0A8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Sharpe</w:t>
            </w:r>
          </w:p>
        </w:tc>
        <w:tc>
          <w:tcPr>
            <w:tcW w:w="1247"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919475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最大回撤</w:t>
            </w:r>
          </w:p>
        </w:tc>
        <w:tc>
          <w:tcPr>
            <w:tcW w:w="1133"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0DF0150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调仓次数</w:t>
            </w:r>
          </w:p>
        </w:tc>
        <w:tc>
          <w:tcPr>
            <w:tcW w:w="1133"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6B378D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L1换手</w:t>
            </w:r>
          </w:p>
        </w:tc>
      </w:tr>
      <w:tr w14:paraId="0D73D7DF">
        <w:tblPrEx>
          <w:tblCellMar>
            <w:top w:w="0" w:type="dxa"/>
            <w:left w:w="108" w:type="dxa"/>
            <w:bottom w:w="0" w:type="dxa"/>
            <w:right w:w="108" w:type="dxa"/>
          </w:tblCellMar>
        </w:tblPrEx>
        <w:trPr>
          <w:cantSplit/>
          <w:jc w:val="center"/>
        </w:trPr>
        <w:tc>
          <w:tcPr>
            <w:tcW w:w="2381"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876085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最终策略</w:t>
            </w:r>
          </w:p>
        </w:tc>
        <w:tc>
          <w:tcPr>
            <w:tcW w:w="1133"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036918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-5.8%</w:t>
            </w:r>
          </w:p>
        </w:tc>
        <w:tc>
          <w:tcPr>
            <w:tcW w:w="119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110ED1D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28.6%</w:t>
            </w:r>
          </w:p>
        </w:tc>
        <w:tc>
          <w:tcPr>
            <w:tcW w:w="107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E879C6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-0.838</w:t>
            </w:r>
          </w:p>
        </w:tc>
        <w:tc>
          <w:tcPr>
            <w:tcW w:w="1247"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F3D273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-12.5%</w:t>
            </w:r>
          </w:p>
        </w:tc>
        <w:tc>
          <w:tcPr>
            <w:tcW w:w="1133"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166AC75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6</w:t>
            </w:r>
          </w:p>
        </w:tc>
        <w:tc>
          <w:tcPr>
            <w:tcW w:w="1133"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1365FC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7.31</w:t>
            </w:r>
          </w:p>
        </w:tc>
      </w:tr>
      <w:tr w14:paraId="4C23F227">
        <w:tblPrEx>
          <w:tblCellMar>
            <w:top w:w="0" w:type="dxa"/>
            <w:left w:w="108" w:type="dxa"/>
            <w:bottom w:w="0" w:type="dxa"/>
            <w:right w:w="108" w:type="dxa"/>
          </w:tblCellMar>
        </w:tblPrEx>
        <w:trPr>
          <w:cantSplit/>
          <w:jc w:val="center"/>
        </w:trPr>
        <w:tc>
          <w:tcPr>
            <w:tcW w:w="2381" w:type="dxa"/>
            <w:tcBorders>
              <w:top w:val="nil"/>
              <w:left w:val="nil"/>
              <w:bottom w:val="nil"/>
              <w:right w:val="nil"/>
            </w:tcBorders>
            <w:shd w:val="clear" w:color="auto" w:fill="FFFFFF"/>
            <w:tcMar>
              <w:top w:w="60" w:type="dxa"/>
              <w:left w:w="80" w:type="dxa"/>
              <w:bottom w:w="60" w:type="dxa"/>
              <w:right w:w="80" w:type="dxa"/>
            </w:tcMar>
            <w:vAlign w:val="center"/>
          </w:tcPr>
          <w:p w14:paraId="73C8C4D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10只ETF等权买入持有</w:t>
            </w:r>
          </w:p>
        </w:tc>
        <w:tc>
          <w:tcPr>
            <w:tcW w:w="1133" w:type="dxa"/>
            <w:tcBorders>
              <w:top w:val="nil"/>
              <w:left w:val="nil"/>
              <w:bottom w:val="nil"/>
              <w:right w:val="nil"/>
            </w:tcBorders>
            <w:shd w:val="clear" w:color="auto" w:fill="FFFFFF"/>
            <w:tcMar>
              <w:top w:w="60" w:type="dxa"/>
              <w:left w:w="80" w:type="dxa"/>
              <w:bottom w:w="60" w:type="dxa"/>
              <w:right w:w="80" w:type="dxa"/>
            </w:tcMar>
            <w:vAlign w:val="center"/>
          </w:tcPr>
          <w:p w14:paraId="432BC1B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-0.8%</w:t>
            </w:r>
          </w:p>
        </w:tc>
        <w:tc>
          <w:tcPr>
            <w:tcW w:w="1190" w:type="dxa"/>
            <w:tcBorders>
              <w:top w:val="nil"/>
              <w:left w:val="nil"/>
              <w:bottom w:val="nil"/>
              <w:right w:val="nil"/>
            </w:tcBorders>
            <w:shd w:val="clear" w:color="auto" w:fill="FFFFFF"/>
            <w:tcMar>
              <w:top w:w="60" w:type="dxa"/>
              <w:left w:w="80" w:type="dxa"/>
              <w:bottom w:w="60" w:type="dxa"/>
              <w:right w:w="80" w:type="dxa"/>
            </w:tcMar>
            <w:vAlign w:val="center"/>
          </w:tcPr>
          <w:p w14:paraId="7DA24CE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21.7%</w:t>
            </w:r>
          </w:p>
        </w:tc>
        <w:tc>
          <w:tcPr>
            <w:tcW w:w="1077" w:type="dxa"/>
            <w:tcBorders>
              <w:top w:val="nil"/>
              <w:left w:val="nil"/>
              <w:bottom w:val="nil"/>
              <w:right w:val="nil"/>
            </w:tcBorders>
            <w:shd w:val="clear" w:color="auto" w:fill="FFFFFF"/>
            <w:tcMar>
              <w:top w:w="60" w:type="dxa"/>
              <w:left w:w="80" w:type="dxa"/>
              <w:bottom w:w="60" w:type="dxa"/>
              <w:right w:w="80" w:type="dxa"/>
            </w:tcMar>
            <w:vAlign w:val="center"/>
          </w:tcPr>
          <w:p w14:paraId="72CA7FE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-0.070</w:t>
            </w:r>
          </w:p>
        </w:tc>
        <w:tc>
          <w:tcPr>
            <w:tcW w:w="1247" w:type="dxa"/>
            <w:tcBorders>
              <w:top w:val="nil"/>
              <w:left w:val="nil"/>
              <w:bottom w:val="nil"/>
              <w:right w:val="nil"/>
            </w:tcBorders>
            <w:shd w:val="clear" w:color="auto" w:fill="FFFFFF"/>
            <w:tcMar>
              <w:top w:w="60" w:type="dxa"/>
              <w:left w:w="80" w:type="dxa"/>
              <w:bottom w:w="60" w:type="dxa"/>
              <w:right w:w="80" w:type="dxa"/>
            </w:tcMar>
            <w:vAlign w:val="center"/>
          </w:tcPr>
          <w:p w14:paraId="4808F34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-8.6%</w:t>
            </w:r>
          </w:p>
        </w:tc>
        <w:tc>
          <w:tcPr>
            <w:tcW w:w="1133" w:type="dxa"/>
            <w:tcBorders>
              <w:top w:val="nil"/>
              <w:left w:val="nil"/>
              <w:bottom w:val="nil"/>
              <w:right w:val="nil"/>
            </w:tcBorders>
            <w:shd w:val="clear" w:color="auto" w:fill="FFFFFF"/>
            <w:tcMar>
              <w:top w:w="60" w:type="dxa"/>
              <w:left w:w="80" w:type="dxa"/>
              <w:bottom w:w="60" w:type="dxa"/>
              <w:right w:w="80" w:type="dxa"/>
            </w:tcMar>
            <w:vAlign w:val="center"/>
          </w:tcPr>
          <w:p w14:paraId="037DDE4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w:t>
            </w:r>
          </w:p>
        </w:tc>
        <w:tc>
          <w:tcPr>
            <w:tcW w:w="1133" w:type="dxa"/>
            <w:tcBorders>
              <w:top w:val="nil"/>
              <w:left w:val="nil"/>
              <w:bottom w:val="nil"/>
              <w:right w:val="nil"/>
            </w:tcBorders>
            <w:shd w:val="clear" w:color="auto" w:fill="FFFFFF"/>
            <w:tcMar>
              <w:top w:w="60" w:type="dxa"/>
              <w:left w:w="80" w:type="dxa"/>
              <w:bottom w:w="60" w:type="dxa"/>
              <w:right w:w="80" w:type="dxa"/>
            </w:tcMar>
            <w:vAlign w:val="center"/>
          </w:tcPr>
          <w:p w14:paraId="117CEF1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1.00</w:t>
            </w:r>
          </w:p>
        </w:tc>
      </w:tr>
      <w:tr w14:paraId="6B77D5BF">
        <w:tblPrEx>
          <w:tblCellMar>
            <w:top w:w="0" w:type="dxa"/>
            <w:left w:w="108" w:type="dxa"/>
            <w:bottom w:w="0" w:type="dxa"/>
            <w:right w:w="108" w:type="dxa"/>
          </w:tblCellMar>
        </w:tblPrEx>
        <w:trPr>
          <w:cantSplit/>
          <w:jc w:val="center"/>
        </w:trPr>
        <w:tc>
          <w:tcPr>
            <w:tcW w:w="2381" w:type="dxa"/>
            <w:tcBorders>
              <w:top w:val="nil"/>
              <w:left w:val="nil"/>
              <w:bottom w:val="nil"/>
              <w:right w:val="nil"/>
            </w:tcBorders>
            <w:shd w:val="clear" w:color="auto" w:fill="FFFFFF"/>
            <w:tcMar>
              <w:top w:w="60" w:type="dxa"/>
              <w:left w:w="80" w:type="dxa"/>
              <w:bottom w:w="60" w:type="dxa"/>
              <w:right w:w="80" w:type="dxa"/>
            </w:tcMar>
            <w:vAlign w:val="center"/>
          </w:tcPr>
          <w:p w14:paraId="08BE56F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20日动量Top3</w:t>
            </w:r>
          </w:p>
        </w:tc>
        <w:tc>
          <w:tcPr>
            <w:tcW w:w="1133" w:type="dxa"/>
            <w:tcBorders>
              <w:top w:val="nil"/>
              <w:left w:val="nil"/>
              <w:bottom w:val="nil"/>
              <w:right w:val="nil"/>
            </w:tcBorders>
            <w:shd w:val="clear" w:color="auto" w:fill="FFFFFF"/>
            <w:tcMar>
              <w:top w:w="60" w:type="dxa"/>
              <w:left w:w="80" w:type="dxa"/>
              <w:bottom w:w="60" w:type="dxa"/>
              <w:right w:w="80" w:type="dxa"/>
            </w:tcMar>
            <w:vAlign w:val="center"/>
          </w:tcPr>
          <w:p w14:paraId="042629D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-6.7%</w:t>
            </w:r>
          </w:p>
        </w:tc>
        <w:tc>
          <w:tcPr>
            <w:tcW w:w="1190" w:type="dxa"/>
            <w:tcBorders>
              <w:top w:val="nil"/>
              <w:left w:val="nil"/>
              <w:bottom w:val="nil"/>
              <w:right w:val="nil"/>
            </w:tcBorders>
            <w:shd w:val="clear" w:color="auto" w:fill="FFFFFF"/>
            <w:tcMar>
              <w:top w:w="60" w:type="dxa"/>
              <w:left w:w="80" w:type="dxa"/>
              <w:bottom w:w="60" w:type="dxa"/>
              <w:right w:w="80" w:type="dxa"/>
            </w:tcMar>
            <w:vAlign w:val="center"/>
          </w:tcPr>
          <w:p w14:paraId="1B8BDBB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25.5%</w:t>
            </w:r>
          </w:p>
        </w:tc>
        <w:tc>
          <w:tcPr>
            <w:tcW w:w="1077" w:type="dxa"/>
            <w:tcBorders>
              <w:top w:val="nil"/>
              <w:left w:val="nil"/>
              <w:bottom w:val="nil"/>
              <w:right w:val="nil"/>
            </w:tcBorders>
            <w:shd w:val="clear" w:color="auto" w:fill="FFFFFF"/>
            <w:tcMar>
              <w:top w:w="60" w:type="dxa"/>
              <w:left w:w="80" w:type="dxa"/>
              <w:bottom w:w="60" w:type="dxa"/>
              <w:right w:w="80" w:type="dxa"/>
            </w:tcMar>
            <w:vAlign w:val="center"/>
          </w:tcPr>
          <w:p w14:paraId="7456111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-1.137</w:t>
            </w:r>
          </w:p>
        </w:tc>
        <w:tc>
          <w:tcPr>
            <w:tcW w:w="1247" w:type="dxa"/>
            <w:tcBorders>
              <w:top w:val="nil"/>
              <w:left w:val="nil"/>
              <w:bottom w:val="nil"/>
              <w:right w:val="nil"/>
            </w:tcBorders>
            <w:shd w:val="clear" w:color="auto" w:fill="FFFFFF"/>
            <w:tcMar>
              <w:top w:w="60" w:type="dxa"/>
              <w:left w:w="80" w:type="dxa"/>
              <w:bottom w:w="60" w:type="dxa"/>
              <w:right w:w="80" w:type="dxa"/>
            </w:tcMar>
            <w:vAlign w:val="center"/>
          </w:tcPr>
          <w:p w14:paraId="71163A4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-9.8%</w:t>
            </w:r>
          </w:p>
        </w:tc>
        <w:tc>
          <w:tcPr>
            <w:tcW w:w="1133" w:type="dxa"/>
            <w:tcBorders>
              <w:top w:val="nil"/>
              <w:left w:val="nil"/>
              <w:bottom w:val="nil"/>
              <w:right w:val="nil"/>
            </w:tcBorders>
            <w:shd w:val="clear" w:color="auto" w:fill="FFFFFF"/>
            <w:tcMar>
              <w:top w:w="60" w:type="dxa"/>
              <w:left w:w="80" w:type="dxa"/>
              <w:bottom w:w="60" w:type="dxa"/>
              <w:right w:w="80" w:type="dxa"/>
            </w:tcMar>
            <w:vAlign w:val="center"/>
          </w:tcPr>
          <w:p w14:paraId="26EE168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8</w:t>
            </w:r>
          </w:p>
        </w:tc>
        <w:tc>
          <w:tcPr>
            <w:tcW w:w="1133" w:type="dxa"/>
            <w:tcBorders>
              <w:top w:val="nil"/>
              <w:left w:val="nil"/>
              <w:bottom w:val="nil"/>
              <w:right w:val="nil"/>
            </w:tcBorders>
            <w:shd w:val="clear" w:color="auto" w:fill="FFFFFF"/>
            <w:tcMar>
              <w:top w:w="60" w:type="dxa"/>
              <w:left w:w="80" w:type="dxa"/>
              <w:bottom w:w="60" w:type="dxa"/>
              <w:right w:w="80" w:type="dxa"/>
            </w:tcMar>
            <w:vAlign w:val="center"/>
          </w:tcPr>
          <w:p w14:paraId="3A66EE7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7.01</w:t>
            </w:r>
          </w:p>
        </w:tc>
      </w:tr>
      <w:tr w14:paraId="3CB4B295">
        <w:tblPrEx>
          <w:tblCellMar>
            <w:top w:w="0" w:type="dxa"/>
            <w:left w:w="108" w:type="dxa"/>
            <w:bottom w:w="0" w:type="dxa"/>
            <w:right w:w="108" w:type="dxa"/>
          </w:tblCellMar>
        </w:tblPrEx>
        <w:trPr>
          <w:cantSplit/>
          <w:jc w:val="center"/>
        </w:trPr>
        <w:tc>
          <w:tcPr>
            <w:tcW w:w="2381"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6453E0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XGBoost Top3基准</w:t>
            </w:r>
          </w:p>
        </w:tc>
        <w:tc>
          <w:tcPr>
            <w:tcW w:w="1133"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BA364B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-4.9%</w:t>
            </w:r>
          </w:p>
        </w:tc>
        <w:tc>
          <w:tcPr>
            <w:tcW w:w="119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037ADD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29.8%</w:t>
            </w:r>
          </w:p>
        </w:tc>
        <w:tc>
          <w:tcPr>
            <w:tcW w:w="107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3B2DC3B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-0.648</w:t>
            </w:r>
          </w:p>
        </w:tc>
        <w:tc>
          <w:tcPr>
            <w:tcW w:w="1247"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70E2867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-13.3%</w:t>
            </w:r>
          </w:p>
        </w:tc>
        <w:tc>
          <w:tcPr>
            <w:tcW w:w="1133"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3B763D4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9</w:t>
            </w:r>
          </w:p>
        </w:tc>
        <w:tc>
          <w:tcPr>
            <w:tcW w:w="1133"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5007BA8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9.15</w:t>
            </w:r>
          </w:p>
        </w:tc>
      </w:tr>
    </w:tbl>
    <w:p w14:paraId="7A5F0588">
      <w:pPr>
        <w:spacing w:before="0" w:after="0" w:line="240" w:lineRule="auto"/>
        <w:ind w:left="0" w:leftChars="0" w:firstLine="0" w:firstLineChars="0"/>
        <w:jc w:val="center"/>
        <w:rPr>
          <w:rFonts w:ascii="Times New Roman" w:hAnsi="Times New Roman" w:eastAsia="宋体"/>
          <w:b w:val="0"/>
          <w:bCs w:val="0"/>
          <w:color w:val="000000"/>
          <w:sz w:val="21"/>
        </w:rPr>
      </w:pPr>
    </w:p>
    <w:p w14:paraId="0989EE9B">
      <w:pPr>
        <w:spacing w:after="0" w:line="300" w:lineRule="auto"/>
        <w:ind w:firstLine="420"/>
        <w:jc w:val="both"/>
        <w:rPr>
          <w:b w:val="0"/>
          <w:bCs w:val="0"/>
        </w:rPr>
      </w:pPr>
      <w:r>
        <w:rPr>
          <w:rFonts w:ascii="Times New Roman" w:hAnsi="Times New Roman" w:eastAsia="宋体"/>
          <w:b w:val="0"/>
          <w:bCs w:val="0"/>
          <w:color w:val="000000"/>
          <w:sz w:val="24"/>
        </w:rPr>
        <w:t>最终策略累计收益为-5.82%，高于20日动量Top3约0.85个百分点，但低于10只ETF等权买入持有约5.00个百分点，也低于XGBoost Top3基准约0.88个百分点。因此，最终独立测试期并未支持“策略能够稳定跑赢所有基准”的结论。</w:t>
      </w:r>
    </w:p>
    <w:p w14:paraId="418AAFD5">
      <w:pPr>
        <w:spacing w:after="0" w:line="300" w:lineRule="auto"/>
        <w:ind w:firstLine="420"/>
        <w:jc w:val="both"/>
        <w:rPr>
          <w:b w:val="0"/>
          <w:bCs w:val="0"/>
        </w:rPr>
      </w:pPr>
      <w:r>
        <w:rPr>
          <w:rFonts w:ascii="Times New Roman" w:hAnsi="Times New Roman" w:eastAsia="宋体"/>
          <w:b w:val="0"/>
          <w:bCs w:val="0"/>
          <w:color w:val="000000"/>
          <w:sz w:val="24"/>
        </w:rPr>
        <w:t>从组合层效果看，Top3进入/Top4保留和逆波动率配置将调仓次数从XGBoost Top3基准的9次降低至6次，L1换手由9.15降至7.31，最大回撤也由-13.3%小幅改善至-12.5%。因此，组合层在该阶段主要体现为降低换手和略微改善回撤，但未带来额外收益。</w:t>
      </w:r>
    </w:p>
    <w:p w14:paraId="4F1FA578">
      <w:pPr>
        <w:keepNext/>
        <w:spacing w:before="100" w:after="60"/>
        <w:jc w:val="center"/>
        <w:rPr>
          <w:b w:val="0"/>
          <w:bCs w:val="0"/>
        </w:rPr>
      </w:pPr>
      <w:r>
        <w:rPr>
          <w:rFonts w:ascii="Times New Roman" w:hAnsi="Times New Roman" w:eastAsia="宋体"/>
          <w:b w:val="0"/>
          <w:bCs w:val="0"/>
          <w:color w:val="000000"/>
          <w:sz w:val="21"/>
        </w:rPr>
        <w:t>表 4.3  最终独立测试期月度收益</w:t>
      </w:r>
    </w:p>
    <w:tbl>
      <w:tblPr>
        <w:tblStyle w:val="34"/>
        <w:tblW w:w="0" w:type="auto"/>
        <w:jc w:val="center"/>
        <w:tblLayout w:type="autofit"/>
        <w:tblCellMar>
          <w:top w:w="0" w:type="dxa"/>
          <w:left w:w="108" w:type="dxa"/>
          <w:bottom w:w="0" w:type="dxa"/>
          <w:right w:w="108" w:type="dxa"/>
        </w:tblCellMar>
      </w:tblPr>
      <w:tblGrid>
        <w:gridCol w:w="2381"/>
        <w:gridCol w:w="2381"/>
        <w:gridCol w:w="2381"/>
      </w:tblGrid>
      <w:tr w14:paraId="30F1BFFC">
        <w:tblPrEx>
          <w:tblCellMar>
            <w:top w:w="0" w:type="dxa"/>
            <w:left w:w="108" w:type="dxa"/>
            <w:bottom w:w="0" w:type="dxa"/>
            <w:right w:w="108" w:type="dxa"/>
          </w:tblCellMar>
        </w:tblPrEx>
        <w:trPr>
          <w:cantSplit/>
          <w:jc w:val="center"/>
        </w:trPr>
        <w:tc>
          <w:tcPr>
            <w:tcW w:w="2381"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1A71FA0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月份</w:t>
            </w:r>
          </w:p>
        </w:tc>
        <w:tc>
          <w:tcPr>
            <w:tcW w:w="2381"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61868D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月度收益</w:t>
            </w:r>
          </w:p>
        </w:tc>
        <w:tc>
          <w:tcPr>
            <w:tcW w:w="2381"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6DA93E0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月末NAV</w:t>
            </w:r>
          </w:p>
        </w:tc>
      </w:tr>
      <w:tr w14:paraId="4697ED00">
        <w:tblPrEx>
          <w:tblCellMar>
            <w:top w:w="0" w:type="dxa"/>
            <w:left w:w="108" w:type="dxa"/>
            <w:bottom w:w="0" w:type="dxa"/>
            <w:right w:w="108" w:type="dxa"/>
          </w:tblCellMar>
        </w:tblPrEx>
        <w:trPr>
          <w:cantSplit/>
          <w:jc w:val="center"/>
        </w:trPr>
        <w:tc>
          <w:tcPr>
            <w:tcW w:w="2381"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CD9828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2026-06</w:t>
            </w:r>
          </w:p>
        </w:tc>
        <w:tc>
          <w:tcPr>
            <w:tcW w:w="2381"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391022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-2.3%</w:t>
            </w:r>
          </w:p>
        </w:tc>
        <w:tc>
          <w:tcPr>
            <w:tcW w:w="2381"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E012F5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0.9765</w:t>
            </w:r>
          </w:p>
        </w:tc>
      </w:tr>
      <w:tr w14:paraId="7A2DC1A1">
        <w:tblPrEx>
          <w:tblCellMar>
            <w:top w:w="0" w:type="dxa"/>
            <w:left w:w="108" w:type="dxa"/>
            <w:bottom w:w="0" w:type="dxa"/>
            <w:right w:w="108" w:type="dxa"/>
          </w:tblCellMar>
        </w:tblPrEx>
        <w:trPr>
          <w:cantSplit/>
          <w:jc w:val="center"/>
        </w:trPr>
        <w:tc>
          <w:tcPr>
            <w:tcW w:w="2381" w:type="dxa"/>
            <w:tcBorders>
              <w:top w:val="nil"/>
              <w:left w:val="nil"/>
              <w:bottom w:val="nil"/>
              <w:right w:val="nil"/>
            </w:tcBorders>
            <w:shd w:val="clear" w:color="auto" w:fill="FFFFFF"/>
            <w:tcMar>
              <w:top w:w="60" w:type="dxa"/>
              <w:left w:w="80" w:type="dxa"/>
              <w:bottom w:w="60" w:type="dxa"/>
              <w:right w:w="80" w:type="dxa"/>
            </w:tcMar>
            <w:vAlign w:val="center"/>
          </w:tcPr>
          <w:p w14:paraId="5DA93AB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2026-07</w:t>
            </w:r>
          </w:p>
        </w:tc>
        <w:tc>
          <w:tcPr>
            <w:tcW w:w="2381" w:type="dxa"/>
            <w:tcBorders>
              <w:top w:val="nil"/>
              <w:left w:val="nil"/>
              <w:bottom w:val="nil"/>
              <w:right w:val="nil"/>
            </w:tcBorders>
            <w:shd w:val="clear" w:color="auto" w:fill="FFFFFF"/>
            <w:tcMar>
              <w:top w:w="60" w:type="dxa"/>
              <w:left w:w="80" w:type="dxa"/>
              <w:bottom w:w="60" w:type="dxa"/>
              <w:right w:w="80" w:type="dxa"/>
            </w:tcMar>
            <w:vAlign w:val="center"/>
          </w:tcPr>
          <w:p w14:paraId="2258926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-8.4%</w:t>
            </w:r>
          </w:p>
        </w:tc>
        <w:tc>
          <w:tcPr>
            <w:tcW w:w="2381" w:type="dxa"/>
            <w:tcBorders>
              <w:top w:val="nil"/>
              <w:left w:val="nil"/>
              <w:bottom w:val="nil"/>
              <w:right w:val="nil"/>
            </w:tcBorders>
            <w:shd w:val="clear" w:color="auto" w:fill="FFFFFF"/>
            <w:tcMar>
              <w:top w:w="60" w:type="dxa"/>
              <w:left w:w="80" w:type="dxa"/>
              <w:bottom w:w="60" w:type="dxa"/>
              <w:right w:w="80" w:type="dxa"/>
            </w:tcMar>
            <w:vAlign w:val="center"/>
          </w:tcPr>
          <w:p w14:paraId="26142DA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0.8944</w:t>
            </w:r>
          </w:p>
        </w:tc>
      </w:tr>
      <w:tr w14:paraId="2501C405">
        <w:tblPrEx>
          <w:tblCellMar>
            <w:top w:w="0" w:type="dxa"/>
            <w:left w:w="108" w:type="dxa"/>
            <w:bottom w:w="0" w:type="dxa"/>
            <w:right w:w="108" w:type="dxa"/>
          </w:tblCellMar>
        </w:tblPrEx>
        <w:trPr>
          <w:cantSplit/>
          <w:jc w:val="center"/>
        </w:trPr>
        <w:tc>
          <w:tcPr>
            <w:tcW w:w="2381"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31A44A58">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2026-08</w:t>
            </w:r>
          </w:p>
        </w:tc>
        <w:tc>
          <w:tcPr>
            <w:tcW w:w="2381"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86A5A2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5.3%</w:t>
            </w:r>
          </w:p>
        </w:tc>
        <w:tc>
          <w:tcPr>
            <w:tcW w:w="2381"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14EA27F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0.9418</w:t>
            </w:r>
          </w:p>
        </w:tc>
      </w:tr>
    </w:tbl>
    <w:p w14:paraId="56D17920">
      <w:pPr>
        <w:spacing w:before="0" w:after="0" w:line="240" w:lineRule="auto"/>
        <w:ind w:left="0" w:leftChars="0" w:firstLine="0" w:firstLineChars="0"/>
        <w:jc w:val="center"/>
        <w:rPr>
          <w:rFonts w:ascii="Times New Roman" w:hAnsi="Times New Roman" w:eastAsia="宋体"/>
          <w:b w:val="0"/>
          <w:bCs w:val="0"/>
          <w:color w:val="000000"/>
          <w:sz w:val="21"/>
        </w:rPr>
      </w:pPr>
    </w:p>
    <w:p w14:paraId="4EE0FF92">
      <w:pPr>
        <w:spacing w:after="0" w:line="300" w:lineRule="auto"/>
        <w:ind w:firstLine="420"/>
        <w:jc w:val="both"/>
        <w:rPr>
          <w:b w:val="0"/>
          <w:bCs w:val="0"/>
        </w:rPr>
      </w:pPr>
      <w:r>
        <w:rPr>
          <w:rFonts w:ascii="Times New Roman" w:hAnsi="Times New Roman" w:eastAsia="宋体"/>
          <w:b w:val="0"/>
          <w:bCs w:val="0"/>
          <w:color w:val="000000"/>
          <w:sz w:val="24"/>
        </w:rPr>
        <w:t>测试期损失主要集中在7月，8月出现一定修复。最低净值约0.8754，出现在7月30日。由于测试期只有约两个半月，年化收益和Sharpe比率容易受到短期波动放大，因此本报告更重视累计收益、最大回撤、相对基准差异和实际换手。</w:t>
      </w:r>
    </w:p>
    <w:p w14:paraId="72074714">
      <w:pPr>
        <w:pStyle w:val="4"/>
        <w:ind w:left="0" w:leftChars="0" w:firstLine="0" w:firstLineChars="0"/>
        <w:jc w:val="left"/>
        <w:rPr>
          <w:b w:val="0"/>
          <w:bCs w:val="0"/>
        </w:rPr>
      </w:pPr>
      <w:bookmarkStart w:id="22" w:name="_Toc30163"/>
      <w:r>
        <w:rPr>
          <w:rFonts w:ascii="Times New Roman" w:hAnsi="Times New Roman" w:eastAsia="黑体"/>
          <w:b w:val="0"/>
          <w:bCs w:val="0"/>
          <w:color w:val="000000"/>
          <w:sz w:val="24"/>
        </w:rPr>
        <w:t>4.3 预测能力诊断</w:t>
      </w:r>
      <w:bookmarkEnd w:id="22"/>
    </w:p>
    <w:p w14:paraId="1F9C4B91">
      <w:pPr>
        <w:spacing w:after="0" w:line="300" w:lineRule="auto"/>
        <w:ind w:firstLine="420"/>
        <w:jc w:val="both"/>
        <w:rPr>
          <w:b w:val="0"/>
          <w:bCs w:val="0"/>
        </w:rPr>
      </w:pPr>
      <w:r>
        <w:rPr>
          <w:rFonts w:ascii="Times New Roman" w:hAnsi="Times New Roman" w:eastAsia="宋体"/>
          <w:b w:val="0"/>
          <w:bCs w:val="0"/>
          <w:color w:val="000000"/>
          <w:sz w:val="24"/>
        </w:rPr>
        <w:t>由于标签需要未来20个交易日才能完整实现，测试期后半段的周度信号在8月28日时尚未获得完整未来收益。为避免使用测试截止日之后的数据，预测层仅评价截至8月28日已经完整实现标签的6个信号。</w:t>
      </w:r>
    </w:p>
    <w:p w14:paraId="1E83D554">
      <w:pPr>
        <w:keepNext/>
        <w:jc w:val="center"/>
        <w:rPr>
          <w:b w:val="0"/>
          <w:bCs w:val="0"/>
        </w:rPr>
      </w:pPr>
      <w:r>
        <w:rPr>
          <w:b w:val="0"/>
          <w:bCs w:val="0"/>
        </w:rPr>
        <w:drawing>
          <wp:inline distT="0" distB="0" distL="114300" distR="114300">
            <wp:extent cx="5532120" cy="312991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532120" cy="3130494"/>
                    </a:xfrm>
                    <a:prstGeom prst="rect">
                      <a:avLst/>
                    </a:prstGeom>
                  </pic:spPr>
                </pic:pic>
              </a:graphicData>
            </a:graphic>
          </wp:inline>
        </w:drawing>
      </w:r>
    </w:p>
    <w:p w14:paraId="7B2DA99B">
      <w:pPr>
        <w:spacing w:after="0"/>
        <w:jc w:val="center"/>
        <w:rPr>
          <w:b w:val="0"/>
          <w:bCs w:val="0"/>
        </w:rPr>
      </w:pPr>
      <w:r>
        <w:rPr>
          <w:rFonts w:ascii="Times New Roman" w:hAnsi="Times New Roman" w:eastAsia="宋体"/>
          <w:b w:val="0"/>
          <w:bCs w:val="0"/>
          <w:color w:val="000000"/>
          <w:sz w:val="21"/>
        </w:rPr>
        <w:t>图 4.3  最终独立测试期已实现标签信号的RankIC</w:t>
      </w:r>
    </w:p>
    <w:p w14:paraId="638A2063">
      <w:pPr>
        <w:keepNext/>
        <w:spacing w:before="100" w:after="60"/>
        <w:jc w:val="center"/>
        <w:rPr>
          <w:b w:val="0"/>
          <w:bCs w:val="0"/>
        </w:rPr>
      </w:pPr>
      <w:r>
        <w:rPr>
          <w:rFonts w:ascii="Times New Roman" w:hAnsi="Times New Roman" w:eastAsia="宋体"/>
          <w:b w:val="0"/>
          <w:bCs w:val="0"/>
          <w:color w:val="000000"/>
          <w:sz w:val="21"/>
        </w:rPr>
        <w:t>表 4.4  最终独立测试期预测指标</w:t>
      </w:r>
    </w:p>
    <w:tbl>
      <w:tblPr>
        <w:tblStyle w:val="34"/>
        <w:tblW w:w="0" w:type="auto"/>
        <w:jc w:val="center"/>
        <w:tblLayout w:type="autofit"/>
        <w:tblCellMar>
          <w:top w:w="0" w:type="dxa"/>
          <w:left w:w="108" w:type="dxa"/>
          <w:bottom w:w="0" w:type="dxa"/>
          <w:right w:w="108" w:type="dxa"/>
        </w:tblCellMar>
      </w:tblPr>
      <w:tblGrid>
        <w:gridCol w:w="1121"/>
        <w:gridCol w:w="1241"/>
        <w:gridCol w:w="1241"/>
        <w:gridCol w:w="1188"/>
        <w:gridCol w:w="1239"/>
        <w:gridCol w:w="1518"/>
        <w:gridCol w:w="1684"/>
      </w:tblGrid>
      <w:tr w14:paraId="3E28A161">
        <w:tblPrEx>
          <w:tblCellMar>
            <w:top w:w="0" w:type="dxa"/>
            <w:left w:w="108" w:type="dxa"/>
            <w:bottom w:w="0" w:type="dxa"/>
            <w:right w:w="108" w:type="dxa"/>
          </w:tblCellMar>
        </w:tblPrEx>
        <w:trPr>
          <w:cantSplit/>
          <w:jc w:val="center"/>
        </w:trPr>
        <w:tc>
          <w:tcPr>
            <w:tcW w:w="1121"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1970EC1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可评价信号</w:t>
            </w:r>
          </w:p>
        </w:tc>
        <w:tc>
          <w:tcPr>
            <w:tcW w:w="1241"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3506B4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平均RankIC</w:t>
            </w:r>
          </w:p>
        </w:tc>
        <w:tc>
          <w:tcPr>
            <w:tcW w:w="1241"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0AF9218">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RankIC</w:t>
            </w:r>
          </w:p>
          <w:p w14:paraId="6973C00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中位数</w:t>
            </w:r>
          </w:p>
        </w:tc>
        <w:tc>
          <w:tcPr>
            <w:tcW w:w="1188"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3C95F0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RankIC&gt;0</w:t>
            </w:r>
          </w:p>
        </w:tc>
        <w:tc>
          <w:tcPr>
            <w:tcW w:w="1239"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0816982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Top3</w:t>
            </w:r>
          </w:p>
          <w:p w14:paraId="3E00FD2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重合率</w:t>
            </w:r>
          </w:p>
        </w:tc>
        <w:tc>
          <w:tcPr>
            <w:tcW w:w="1518"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8E83F4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Top1</w:t>
            </w:r>
          </w:p>
          <w:p w14:paraId="78DF653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进入实际Top3</w:t>
            </w:r>
          </w:p>
        </w:tc>
        <w:tc>
          <w:tcPr>
            <w:tcW w:w="1684"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0A6D15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预测Top3</w:t>
            </w:r>
          </w:p>
          <w:p w14:paraId="2C88E7F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平均相对收益</w:t>
            </w:r>
          </w:p>
        </w:tc>
      </w:tr>
      <w:tr w14:paraId="0507070A">
        <w:tblPrEx>
          <w:tblCellMar>
            <w:top w:w="0" w:type="dxa"/>
            <w:left w:w="108" w:type="dxa"/>
            <w:bottom w:w="0" w:type="dxa"/>
            <w:right w:w="108" w:type="dxa"/>
          </w:tblCellMar>
        </w:tblPrEx>
        <w:trPr>
          <w:cantSplit/>
          <w:jc w:val="center"/>
        </w:trPr>
        <w:tc>
          <w:tcPr>
            <w:tcW w:w="1121" w:type="dxa"/>
            <w:tcBorders>
              <w:top w:val="single" w:color="000000" w:sz="4" w:space="0"/>
              <w:left w:val="nil"/>
              <w:bottom w:val="single" w:color="000000" w:sz="12" w:space="0"/>
              <w:right w:val="nil"/>
            </w:tcBorders>
            <w:shd w:val="clear" w:color="auto" w:fill="FFFFFF"/>
            <w:tcMar>
              <w:top w:w="60" w:type="dxa"/>
              <w:left w:w="80" w:type="dxa"/>
              <w:bottom w:w="60" w:type="dxa"/>
              <w:right w:w="80" w:type="dxa"/>
            </w:tcMar>
            <w:vAlign w:val="center"/>
          </w:tcPr>
          <w:p w14:paraId="2A7966F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6</w:t>
            </w:r>
          </w:p>
        </w:tc>
        <w:tc>
          <w:tcPr>
            <w:tcW w:w="1241" w:type="dxa"/>
            <w:tcBorders>
              <w:top w:val="single" w:color="000000" w:sz="4" w:space="0"/>
              <w:left w:val="nil"/>
              <w:bottom w:val="single" w:color="000000" w:sz="12" w:space="0"/>
              <w:right w:val="nil"/>
            </w:tcBorders>
            <w:shd w:val="clear" w:color="auto" w:fill="FFFFFF"/>
            <w:tcMar>
              <w:top w:w="60" w:type="dxa"/>
              <w:left w:w="80" w:type="dxa"/>
              <w:bottom w:w="60" w:type="dxa"/>
              <w:right w:w="80" w:type="dxa"/>
            </w:tcMar>
            <w:vAlign w:val="center"/>
          </w:tcPr>
          <w:p w14:paraId="27AE71A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0.485</w:t>
            </w:r>
          </w:p>
        </w:tc>
        <w:tc>
          <w:tcPr>
            <w:tcW w:w="1241" w:type="dxa"/>
            <w:tcBorders>
              <w:top w:val="single" w:color="000000" w:sz="4" w:space="0"/>
              <w:left w:val="nil"/>
              <w:bottom w:val="single" w:color="000000" w:sz="12" w:space="0"/>
              <w:right w:val="nil"/>
            </w:tcBorders>
            <w:shd w:val="clear" w:color="auto" w:fill="FFFFFF"/>
            <w:tcMar>
              <w:top w:w="60" w:type="dxa"/>
              <w:left w:w="80" w:type="dxa"/>
              <w:bottom w:w="60" w:type="dxa"/>
              <w:right w:w="80" w:type="dxa"/>
            </w:tcMar>
            <w:vAlign w:val="center"/>
          </w:tcPr>
          <w:p w14:paraId="5D96A5F8">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0.430</w:t>
            </w:r>
          </w:p>
        </w:tc>
        <w:tc>
          <w:tcPr>
            <w:tcW w:w="1188" w:type="dxa"/>
            <w:tcBorders>
              <w:top w:val="single" w:color="000000" w:sz="4" w:space="0"/>
              <w:left w:val="nil"/>
              <w:bottom w:val="single" w:color="000000" w:sz="12" w:space="0"/>
              <w:right w:val="nil"/>
            </w:tcBorders>
            <w:shd w:val="clear" w:color="auto" w:fill="FFFFFF"/>
            <w:tcMar>
              <w:top w:w="60" w:type="dxa"/>
              <w:left w:w="80" w:type="dxa"/>
              <w:bottom w:w="60" w:type="dxa"/>
              <w:right w:w="80" w:type="dxa"/>
            </w:tcMar>
            <w:vAlign w:val="center"/>
          </w:tcPr>
          <w:p w14:paraId="0C4508E8">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100.0%</w:t>
            </w:r>
          </w:p>
        </w:tc>
        <w:tc>
          <w:tcPr>
            <w:tcW w:w="1239" w:type="dxa"/>
            <w:tcBorders>
              <w:top w:val="single" w:color="000000" w:sz="4" w:space="0"/>
              <w:left w:val="nil"/>
              <w:bottom w:val="single" w:color="000000" w:sz="12" w:space="0"/>
              <w:right w:val="nil"/>
            </w:tcBorders>
            <w:shd w:val="clear" w:color="auto" w:fill="FFFFFF"/>
            <w:tcMar>
              <w:top w:w="60" w:type="dxa"/>
              <w:left w:w="80" w:type="dxa"/>
              <w:bottom w:w="60" w:type="dxa"/>
              <w:right w:w="80" w:type="dxa"/>
            </w:tcMar>
            <w:vAlign w:val="center"/>
          </w:tcPr>
          <w:p w14:paraId="6C9F400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44.4%</w:t>
            </w:r>
          </w:p>
        </w:tc>
        <w:tc>
          <w:tcPr>
            <w:tcW w:w="1518" w:type="dxa"/>
            <w:tcBorders>
              <w:top w:val="single" w:color="000000" w:sz="4" w:space="0"/>
              <w:left w:val="nil"/>
              <w:bottom w:val="single" w:color="000000" w:sz="12" w:space="0"/>
              <w:right w:val="nil"/>
            </w:tcBorders>
            <w:shd w:val="clear" w:color="auto" w:fill="FFFFFF"/>
            <w:tcMar>
              <w:top w:w="60" w:type="dxa"/>
              <w:left w:w="80" w:type="dxa"/>
              <w:bottom w:w="60" w:type="dxa"/>
              <w:right w:w="80" w:type="dxa"/>
            </w:tcMar>
            <w:vAlign w:val="center"/>
          </w:tcPr>
          <w:p w14:paraId="2D216E7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83.3%</w:t>
            </w:r>
          </w:p>
        </w:tc>
        <w:tc>
          <w:tcPr>
            <w:tcW w:w="1684" w:type="dxa"/>
            <w:tcBorders>
              <w:top w:val="single" w:color="000000" w:sz="4" w:space="0"/>
              <w:left w:val="nil"/>
              <w:bottom w:val="single" w:color="000000" w:sz="12" w:space="0"/>
              <w:right w:val="nil"/>
            </w:tcBorders>
            <w:shd w:val="clear" w:color="auto" w:fill="FFFFFF"/>
            <w:tcMar>
              <w:top w:w="60" w:type="dxa"/>
              <w:left w:w="80" w:type="dxa"/>
              <w:bottom w:w="60" w:type="dxa"/>
              <w:right w:w="80" w:type="dxa"/>
            </w:tcMar>
            <w:vAlign w:val="center"/>
          </w:tcPr>
          <w:p w14:paraId="0A6492D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2.3%</w:t>
            </w:r>
          </w:p>
        </w:tc>
      </w:tr>
    </w:tbl>
    <w:p w14:paraId="6AD98B7E">
      <w:pPr>
        <w:spacing w:after="0"/>
        <w:rPr>
          <w:b w:val="0"/>
          <w:bCs w:val="0"/>
        </w:rPr>
      </w:pPr>
    </w:p>
    <w:p w14:paraId="2421A700">
      <w:pPr>
        <w:spacing w:after="0" w:line="300" w:lineRule="auto"/>
        <w:ind w:firstLine="420"/>
        <w:jc w:val="both"/>
        <w:rPr>
          <w:b w:val="0"/>
          <w:bCs w:val="0"/>
        </w:rPr>
      </w:pPr>
      <w:r>
        <w:rPr>
          <w:rFonts w:ascii="Times New Roman" w:hAnsi="Times New Roman" w:eastAsia="宋体"/>
          <w:b w:val="0"/>
          <w:bCs w:val="0"/>
          <w:color w:val="000000"/>
          <w:sz w:val="24"/>
        </w:rPr>
        <w:t>6个可评价信号的平均RankIC为0.485，中位数为0.430，且全部为正；预测第一名进入实际Top3的比例为83.3%。从横截面排序角度看，这一小段测试期表现较好，但有效样本只有6个，不能据此认为模型的长期RankIC能够稳定维持在较高水平。</w:t>
      </w:r>
    </w:p>
    <w:p w14:paraId="03B51451">
      <w:pPr>
        <w:pStyle w:val="4"/>
        <w:ind w:left="0" w:leftChars="0" w:firstLine="0" w:firstLineChars="0"/>
        <w:jc w:val="left"/>
        <w:rPr>
          <w:b w:val="0"/>
          <w:bCs w:val="0"/>
        </w:rPr>
      </w:pPr>
      <w:bookmarkStart w:id="23" w:name="_Toc27005"/>
      <w:r>
        <w:rPr>
          <w:rFonts w:ascii="Times New Roman" w:hAnsi="Times New Roman" w:eastAsia="黑体"/>
          <w:b w:val="0"/>
          <w:bCs w:val="0"/>
          <w:color w:val="000000"/>
          <w:sz w:val="24"/>
        </w:rPr>
        <w:t>4.4 结果解释</w:t>
      </w:r>
      <w:bookmarkEnd w:id="23"/>
    </w:p>
    <w:p w14:paraId="60164E10">
      <w:pPr>
        <w:spacing w:after="0" w:line="300" w:lineRule="auto"/>
        <w:ind w:firstLine="420"/>
        <w:jc w:val="both"/>
        <w:rPr>
          <w:b w:val="0"/>
          <w:bCs w:val="0"/>
        </w:rPr>
      </w:pPr>
      <w:r>
        <w:rPr>
          <w:rFonts w:hint="eastAsia"/>
          <w:b w:val="0"/>
          <w:bCs w:val="0"/>
          <w:color w:val="000000"/>
          <w:sz w:val="24"/>
          <w:lang w:eastAsia="zh-CN"/>
        </w:rPr>
        <w:t>“</w:t>
      </w:r>
      <w:r>
        <w:rPr>
          <w:rFonts w:ascii="Times New Roman" w:hAnsi="Times New Roman" w:eastAsia="宋体"/>
          <w:b w:val="0"/>
          <w:bCs w:val="0"/>
          <w:color w:val="000000"/>
          <w:sz w:val="24"/>
        </w:rPr>
        <w:t>排序指标较好但组合仍出现负收益</w:t>
      </w:r>
      <w:r>
        <w:rPr>
          <w:rFonts w:hint="eastAsia"/>
          <w:b w:val="0"/>
          <w:bCs w:val="0"/>
          <w:color w:val="000000"/>
          <w:sz w:val="24"/>
          <w:lang w:eastAsia="zh-CN"/>
        </w:rPr>
        <w:t>”</w:t>
      </w:r>
      <w:r>
        <w:rPr>
          <w:rFonts w:ascii="Times New Roman" w:hAnsi="Times New Roman" w:eastAsia="宋体"/>
          <w:b w:val="0"/>
          <w:bCs w:val="0"/>
          <w:color w:val="000000"/>
          <w:sz w:val="24"/>
        </w:rPr>
        <w:t>并不矛盾。模型预测的是每只ETF相对于ETF池平均收益的强弱，而不是整个权益市场的绝对方向。当10只ETF整体下跌时，模型即使选出跌幅相对较小的ETF，仍可能产生正RankIC和正相对收益，但账户绝对收益仍为负。</w:t>
      </w:r>
    </w:p>
    <w:p w14:paraId="3B50C1A9">
      <w:pPr>
        <w:spacing w:after="0" w:line="300" w:lineRule="auto"/>
        <w:ind w:firstLine="420"/>
        <w:jc w:val="both"/>
        <w:rPr>
          <w:b w:val="0"/>
          <w:bCs w:val="0"/>
        </w:rPr>
      </w:pPr>
      <w:r>
        <w:rPr>
          <w:rFonts w:ascii="Times New Roman" w:hAnsi="Times New Roman" w:eastAsia="宋体"/>
          <w:b w:val="0"/>
          <w:bCs w:val="0"/>
          <w:color w:val="000000"/>
          <w:sz w:val="24"/>
        </w:rPr>
        <w:t>因此，本次结果更支持</w:t>
      </w:r>
      <w:r>
        <w:rPr>
          <w:rFonts w:hint="eastAsia"/>
          <w:b w:val="0"/>
          <w:bCs w:val="0"/>
          <w:color w:val="000000"/>
          <w:sz w:val="24"/>
          <w:lang w:eastAsia="zh-CN"/>
        </w:rPr>
        <w:t>“</w:t>
      </w:r>
      <w:r>
        <w:rPr>
          <w:rFonts w:ascii="Times New Roman" w:hAnsi="Times New Roman" w:eastAsia="宋体"/>
          <w:b w:val="0"/>
          <w:bCs w:val="0"/>
          <w:color w:val="000000"/>
          <w:sz w:val="24"/>
        </w:rPr>
        <w:t>XGBoost包含一定ETF横截面选择信息</w:t>
      </w:r>
      <w:r>
        <w:rPr>
          <w:rFonts w:hint="eastAsia"/>
          <w:b w:val="0"/>
          <w:bCs w:val="0"/>
          <w:color w:val="000000"/>
          <w:sz w:val="24"/>
          <w:lang w:eastAsia="zh-CN"/>
        </w:rPr>
        <w:t>”</w:t>
      </w:r>
      <w:r>
        <w:rPr>
          <w:rFonts w:ascii="Times New Roman" w:hAnsi="Times New Roman" w:eastAsia="宋体"/>
          <w:b w:val="0"/>
          <w:bCs w:val="0"/>
          <w:color w:val="000000"/>
          <w:sz w:val="24"/>
        </w:rPr>
        <w:t>，而不足以证明</w:t>
      </w:r>
      <w:r>
        <w:rPr>
          <w:rFonts w:hint="eastAsia"/>
          <w:b w:val="0"/>
          <w:bCs w:val="0"/>
          <w:color w:val="000000"/>
          <w:sz w:val="24"/>
          <w:lang w:eastAsia="zh-CN"/>
        </w:rPr>
        <w:t>“</w:t>
      </w:r>
      <w:r>
        <w:rPr>
          <w:rFonts w:ascii="Times New Roman" w:hAnsi="Times New Roman" w:eastAsia="宋体"/>
          <w:b w:val="0"/>
          <w:bCs w:val="0"/>
          <w:color w:val="000000"/>
          <w:sz w:val="24"/>
        </w:rPr>
        <w:t>完整策略具有稳定的绝对超额收益</w:t>
      </w:r>
      <w:r>
        <w:rPr>
          <w:rFonts w:hint="eastAsia"/>
          <w:b w:val="0"/>
          <w:bCs w:val="0"/>
          <w:color w:val="000000"/>
          <w:sz w:val="24"/>
          <w:lang w:eastAsia="zh-CN"/>
        </w:rPr>
        <w:t>”</w:t>
      </w:r>
      <w:r>
        <w:rPr>
          <w:rFonts w:ascii="Times New Roman" w:hAnsi="Times New Roman" w:eastAsia="宋体"/>
          <w:b w:val="0"/>
          <w:bCs w:val="0"/>
          <w:color w:val="000000"/>
          <w:sz w:val="24"/>
        </w:rPr>
        <w:t>。最终独立测试期结束后，本文不再根据该结果增加市场择时、现金过滤或止损规则；若未来需要解决全市场下跌时的绝对收益保护，应另设新的研究模块，并使用新的未见样本验证。</w:t>
      </w:r>
    </w:p>
    <w:p w14:paraId="52099B0E">
      <w:pPr>
        <w:rPr>
          <w:rFonts w:ascii="Times New Roman" w:hAnsi="Times New Roman" w:eastAsia="黑体"/>
          <w:b w:val="0"/>
          <w:bCs w:val="0"/>
          <w:color w:val="000000"/>
          <w:sz w:val="28"/>
        </w:rPr>
      </w:pPr>
      <w:r>
        <w:rPr>
          <w:rFonts w:ascii="Times New Roman" w:hAnsi="Times New Roman" w:eastAsia="黑体"/>
          <w:b w:val="0"/>
          <w:bCs w:val="0"/>
          <w:color w:val="000000"/>
          <w:sz w:val="28"/>
        </w:rPr>
        <w:br w:type="page"/>
      </w:r>
    </w:p>
    <w:p w14:paraId="4B647C7C">
      <w:pPr>
        <w:pStyle w:val="3"/>
        <w:jc w:val="center"/>
        <w:rPr>
          <w:b w:val="0"/>
          <w:bCs w:val="0"/>
        </w:rPr>
      </w:pPr>
      <w:bookmarkStart w:id="24" w:name="_Toc11489"/>
      <w:r>
        <w:rPr>
          <w:rFonts w:ascii="Times New Roman" w:hAnsi="Times New Roman" w:eastAsia="黑体"/>
          <w:b w:val="0"/>
          <w:bCs w:val="0"/>
          <w:color w:val="000000"/>
          <w:sz w:val="28"/>
        </w:rPr>
        <w:t>第 5 章  结论与局限</w:t>
      </w:r>
      <w:bookmarkEnd w:id="24"/>
    </w:p>
    <w:p w14:paraId="6688AC6B">
      <w:pPr>
        <w:pStyle w:val="4"/>
        <w:ind w:left="0" w:leftChars="0" w:firstLine="0" w:firstLineChars="0"/>
        <w:jc w:val="left"/>
        <w:rPr>
          <w:b w:val="0"/>
          <w:bCs w:val="0"/>
        </w:rPr>
      </w:pPr>
      <w:bookmarkStart w:id="25" w:name="_Toc1283"/>
      <w:r>
        <w:rPr>
          <w:rFonts w:ascii="Times New Roman" w:hAnsi="Times New Roman" w:eastAsia="黑体"/>
          <w:b w:val="0"/>
          <w:bCs w:val="0"/>
          <w:color w:val="000000"/>
          <w:sz w:val="24"/>
        </w:rPr>
        <w:t>5.1 主要结论</w:t>
      </w:r>
      <w:bookmarkEnd w:id="25"/>
    </w:p>
    <w:p w14:paraId="3738E084">
      <w:pPr>
        <w:spacing w:after="60" w:line="300" w:lineRule="auto"/>
        <w:ind w:firstLine="420"/>
        <w:jc w:val="both"/>
        <w:rPr>
          <w:b w:val="0"/>
          <w:bCs w:val="0"/>
        </w:rPr>
      </w:pPr>
      <w:r>
        <w:rPr>
          <w:rFonts w:ascii="Times New Roman" w:hAnsi="Times New Roman" w:eastAsia="宋体"/>
          <w:b w:val="0"/>
          <w:bCs w:val="0"/>
          <w:color w:val="000000"/>
          <w:sz w:val="22"/>
        </w:rPr>
        <w:t>本文构建了一套以XGBoost横截面排序为核心的周频ETF动态轮动策略。最终策略在10只权益ETF中预测未来20个交易日相对收益，并使用22个历史可见特征形成每周横截面排序。</w:t>
      </w:r>
    </w:p>
    <w:p w14:paraId="04D813E1">
      <w:pPr>
        <w:spacing w:after="60" w:line="300" w:lineRule="auto"/>
        <w:ind w:firstLine="420"/>
        <w:jc w:val="both"/>
        <w:rPr>
          <w:b w:val="0"/>
          <w:bCs w:val="0"/>
        </w:rPr>
      </w:pPr>
      <w:r>
        <w:rPr>
          <w:rFonts w:ascii="Times New Roman" w:hAnsi="Times New Roman" w:eastAsia="宋体"/>
          <w:b w:val="0"/>
          <w:bCs w:val="0"/>
          <w:color w:val="000000"/>
          <w:sz w:val="22"/>
        </w:rPr>
        <w:t>模型采用扩展窗口每周重新训练；组合层采用Top3进入、Top4保留的持仓缓冲，并在持仓成员变化时按20日逆波动率配置三只ETF权重。该设计将预测、换仓和风险权重三个环节分别处理，最终交易规则较为清晰。</w:t>
      </w:r>
    </w:p>
    <w:p w14:paraId="38D209FF">
      <w:pPr>
        <w:spacing w:after="60" w:line="300" w:lineRule="auto"/>
        <w:ind w:firstLine="420"/>
        <w:jc w:val="both"/>
        <w:rPr>
          <w:b w:val="0"/>
          <w:bCs w:val="0"/>
        </w:rPr>
      </w:pPr>
      <w:r>
        <w:rPr>
          <w:rFonts w:ascii="Times New Roman" w:hAnsi="Times New Roman" w:eastAsia="宋体"/>
          <w:b w:val="0"/>
          <w:bCs w:val="0"/>
          <w:color w:val="000000"/>
          <w:sz w:val="22"/>
        </w:rPr>
        <w:t>模型选择方面，遗传规划（Genetic Programming，GP）仅作为候选特征发现方法。嵌套组合式净化交叉验证在每个训练样本中重新执行GP搜索，再比较纯XGBoost与加入GP特征后的XGBoost。结果显示，加入GP特征的模型只在5条样本外路径中的2条取得更高Sharpe比率，且Sharpe中位数低于纯XGBoost，因此最终采用更简单的XGBoost模型。该结果说明，候选特征是否保留应依据跨样本稳定性，而不能仅依据单次回测表现。</w:t>
      </w:r>
    </w:p>
    <w:p w14:paraId="2602134D">
      <w:pPr>
        <w:spacing w:after="0" w:line="300" w:lineRule="auto"/>
        <w:ind w:firstLine="420"/>
        <w:jc w:val="both"/>
        <w:rPr>
          <w:b w:val="0"/>
          <w:bCs w:val="0"/>
        </w:rPr>
      </w:pPr>
      <w:r>
        <w:rPr>
          <w:rFonts w:ascii="Times New Roman" w:hAnsi="Times New Roman" w:eastAsia="宋体"/>
          <w:b w:val="0"/>
          <w:bCs w:val="0"/>
          <w:color w:val="000000"/>
          <w:sz w:val="24"/>
        </w:rPr>
        <w:t>绩效方面，开发期最终策略累计收益38.67%，年化收益10.41%，Sharpe比率0.570，最大回撤-24.74%。最终独立测试期累计收益-5.82%，跑赢20日动量Top3，但未跑赢10只ETF等权买入持有和XGBoost Top3基准。预测层6个可评价信号的平均RankIC为0.485，说明测试期内模型仍具有一定横截面排序信息，但该信息尚未稳定转化为绝对超额收益。</w:t>
      </w:r>
    </w:p>
    <w:p w14:paraId="0BB813F7">
      <w:pPr>
        <w:pStyle w:val="4"/>
        <w:ind w:left="0" w:leftChars="0" w:firstLine="0" w:firstLineChars="0"/>
        <w:jc w:val="left"/>
        <w:rPr>
          <w:b w:val="0"/>
          <w:bCs w:val="0"/>
        </w:rPr>
      </w:pPr>
      <w:bookmarkStart w:id="26" w:name="_Toc23906"/>
      <w:r>
        <w:rPr>
          <w:rFonts w:ascii="Times New Roman" w:hAnsi="Times New Roman" w:eastAsia="黑体"/>
          <w:b w:val="0"/>
          <w:bCs w:val="0"/>
          <w:color w:val="000000"/>
          <w:sz w:val="24"/>
        </w:rPr>
        <w:t>5.2 局限与后续研究方向</w:t>
      </w:r>
      <w:bookmarkEnd w:id="26"/>
    </w:p>
    <w:p w14:paraId="33E78F42">
      <w:pPr>
        <w:spacing w:after="0" w:line="300" w:lineRule="auto"/>
        <w:ind w:firstLine="420"/>
        <w:jc w:val="both"/>
        <w:rPr>
          <w:b w:val="0"/>
          <w:bCs w:val="0"/>
        </w:rPr>
      </w:pPr>
      <w:r>
        <w:rPr>
          <w:rFonts w:ascii="Times New Roman" w:hAnsi="Times New Roman" w:eastAsia="宋体"/>
          <w:b w:val="0"/>
          <w:bCs w:val="0"/>
          <w:color w:val="000000"/>
          <w:sz w:val="24"/>
        </w:rPr>
        <w:t>第一，ETF池只有10只，横截面规模较小，单周RankIC基于有限排序点计算，统计波动较大。第二，最终独立测试期只有54个交易日，而预测标签跨度为20个交易日，可完整评价的周度信号只有6个，因此不能形成强统计结论。第三，交易成本统一按单边0.05%估计，尚未进一步考虑冲击成本、盘口流动性和申赎机制。第四，模型只使用价格与成交数据，没有加入估值、宏观或资金流等信息。</w:t>
      </w:r>
    </w:p>
    <w:p w14:paraId="7E0D9205">
      <w:pPr>
        <w:spacing w:after="0" w:line="300" w:lineRule="auto"/>
        <w:ind w:firstLine="420"/>
        <w:jc w:val="both"/>
        <w:rPr>
          <w:b w:val="0"/>
          <w:bCs w:val="0"/>
        </w:rPr>
      </w:pPr>
      <w:r>
        <w:rPr>
          <w:rFonts w:ascii="Times New Roman" w:hAnsi="Times New Roman" w:eastAsia="宋体"/>
          <w:b w:val="0"/>
          <w:bCs w:val="0"/>
          <w:color w:val="000000"/>
          <w:sz w:val="24"/>
        </w:rPr>
        <w:t>后续研究可以在保持本次结论不变的前提下进行三类扩展：一是使用新的未来数据继续前瞻跟踪，观察RankIC和组合超额收益是否持续；二是扩大ETF池并进行宽基、风格和行业分层，以降低小横截面带来的偶然性；三是将</w:t>
      </w:r>
      <w:r>
        <w:rPr>
          <w:rFonts w:hint="eastAsia"/>
          <w:b w:val="0"/>
          <w:bCs w:val="0"/>
          <w:color w:val="000000"/>
          <w:sz w:val="24"/>
          <w:lang w:eastAsia="zh-CN"/>
        </w:rPr>
        <w:t>“</w:t>
      </w:r>
      <w:r>
        <w:rPr>
          <w:rFonts w:ascii="Times New Roman" w:hAnsi="Times New Roman" w:eastAsia="宋体"/>
          <w:b w:val="0"/>
          <w:bCs w:val="0"/>
          <w:color w:val="000000"/>
          <w:sz w:val="24"/>
        </w:rPr>
        <w:t>横截面选强</w:t>
      </w:r>
      <w:r>
        <w:rPr>
          <w:rFonts w:hint="eastAsia"/>
          <w:b w:val="0"/>
          <w:bCs w:val="0"/>
          <w:color w:val="000000"/>
          <w:sz w:val="24"/>
          <w:lang w:eastAsia="zh-CN"/>
        </w:rPr>
        <w:t>”</w:t>
      </w:r>
      <w:r>
        <w:rPr>
          <w:rFonts w:ascii="Times New Roman" w:hAnsi="Times New Roman" w:eastAsia="宋体"/>
          <w:b w:val="0"/>
          <w:bCs w:val="0"/>
          <w:color w:val="000000"/>
          <w:sz w:val="24"/>
        </w:rPr>
        <w:t>和</w:t>
      </w:r>
      <w:r>
        <w:rPr>
          <w:rFonts w:hint="eastAsia"/>
          <w:b w:val="0"/>
          <w:bCs w:val="0"/>
          <w:color w:val="000000"/>
          <w:sz w:val="24"/>
          <w:lang w:eastAsia="zh-CN"/>
        </w:rPr>
        <w:t>“</w:t>
      </w:r>
      <w:r>
        <w:rPr>
          <w:rFonts w:ascii="Times New Roman" w:hAnsi="Times New Roman" w:eastAsia="宋体"/>
          <w:b w:val="0"/>
          <w:bCs w:val="0"/>
          <w:color w:val="000000"/>
          <w:sz w:val="24"/>
        </w:rPr>
        <w:t>权益市场风险开关</w:t>
      </w:r>
      <w:r>
        <w:rPr>
          <w:rFonts w:hint="eastAsia"/>
          <w:b w:val="0"/>
          <w:bCs w:val="0"/>
          <w:color w:val="000000"/>
          <w:sz w:val="24"/>
          <w:lang w:eastAsia="zh-CN"/>
        </w:rPr>
        <w:t>”</w:t>
      </w:r>
      <w:r>
        <w:rPr>
          <w:rFonts w:ascii="Times New Roman" w:hAnsi="Times New Roman" w:eastAsia="宋体"/>
          <w:b w:val="0"/>
          <w:bCs w:val="0"/>
          <w:color w:val="000000"/>
          <w:sz w:val="24"/>
        </w:rPr>
        <w:t>拆分为两个独立模块，并使用新的样本外数据分别验证。</w:t>
      </w:r>
    </w:p>
    <w:p w14:paraId="62121A80">
      <w:pPr>
        <w:rPr>
          <w:b w:val="0"/>
          <w:bCs w:val="0"/>
        </w:rPr>
      </w:pPr>
      <w:r>
        <w:rPr>
          <w:b w:val="0"/>
          <w:bCs w:val="0"/>
        </w:rPr>
        <w:br w:type="page"/>
      </w:r>
    </w:p>
    <w:p w14:paraId="5E40BE91">
      <w:pPr>
        <w:pStyle w:val="3"/>
        <w:jc w:val="center"/>
        <w:rPr>
          <w:b w:val="0"/>
          <w:bCs w:val="0"/>
        </w:rPr>
      </w:pPr>
      <w:bookmarkStart w:id="27" w:name="_Toc6884"/>
      <w:r>
        <w:rPr>
          <w:rFonts w:ascii="Times New Roman" w:hAnsi="Times New Roman" w:eastAsia="黑体"/>
          <w:b w:val="0"/>
          <w:bCs w:val="0"/>
          <w:color w:val="000000"/>
          <w:sz w:val="28"/>
        </w:rPr>
        <w:t>参考文献</w:t>
      </w:r>
      <w:bookmarkEnd w:id="27"/>
    </w:p>
    <w:p w14:paraId="5F68EF8C">
      <w:pPr>
        <w:spacing w:after="60" w:line="300" w:lineRule="auto"/>
        <w:ind w:left="0" w:leftChars="0" w:firstLine="0" w:firstLineChars="0"/>
        <w:rPr>
          <w:b w:val="0"/>
          <w:bCs w:val="0"/>
        </w:rPr>
      </w:pPr>
      <w:r>
        <w:rPr>
          <w:rFonts w:ascii="Times New Roman" w:hAnsi="Times New Roman" w:eastAsia="宋体"/>
          <w:b w:val="0"/>
          <w:bCs w:val="0"/>
          <w:color w:val="000000"/>
          <w:sz w:val="22"/>
        </w:rPr>
        <w:t>[1] Jegadeesh N, Titman S. Returns to Buying Winners and Selling Losers: Implications for Stock Market Efficiency[J]. The Journal of Finance, 1993, 48(1): 65-91.</w:t>
      </w:r>
    </w:p>
    <w:p w14:paraId="0D03D57A">
      <w:pPr>
        <w:spacing w:after="60" w:line="300" w:lineRule="auto"/>
        <w:ind w:left="0" w:leftChars="0" w:firstLine="0" w:firstLineChars="0"/>
        <w:rPr>
          <w:rFonts w:ascii="Times New Roman" w:hAnsi="Times New Roman" w:eastAsia="宋体"/>
          <w:b w:val="0"/>
          <w:bCs w:val="0"/>
          <w:color w:val="000000"/>
          <w:sz w:val="22"/>
        </w:rPr>
      </w:pPr>
      <w:r>
        <w:rPr>
          <w:rFonts w:ascii="Times New Roman" w:hAnsi="Times New Roman" w:eastAsia="宋体"/>
          <w:b w:val="0"/>
          <w:bCs w:val="0"/>
          <w:color w:val="000000"/>
          <w:sz w:val="22"/>
        </w:rPr>
        <w:t>[2] Chen T, Guestrin C. XGBoost: A Scalable Tree Boosting System[C]//Proceedings of the 22nd ACM SIGKDD International Conference on Knowledge Discovery and Data Mining. New York: ACM, 2016: 785-794.</w:t>
      </w:r>
    </w:p>
    <w:p w14:paraId="1C3F4038">
      <w:pPr>
        <w:spacing w:after="60" w:line="300" w:lineRule="auto"/>
        <w:ind w:left="0" w:leftChars="0" w:firstLine="0" w:firstLineChars="0"/>
        <w:rPr>
          <w:rFonts w:ascii="Times New Roman" w:hAnsi="Times New Roman" w:eastAsia="宋体"/>
          <w:b w:val="0"/>
          <w:bCs w:val="0"/>
          <w:color w:val="000000"/>
          <w:sz w:val="22"/>
        </w:rPr>
      </w:pPr>
      <w:r>
        <w:rPr>
          <w:rFonts w:ascii="Times New Roman" w:hAnsi="Times New Roman" w:eastAsia="宋体"/>
          <w:b w:val="0"/>
          <w:bCs w:val="0"/>
          <w:color w:val="000000"/>
          <w:sz w:val="22"/>
        </w:rPr>
        <w:t>[3] Koza J R. Genetic Programming: On the Programming of Computers by Means of Natural Selection[M]. Cambridge, MA: MIT Press, 1992.</w:t>
      </w:r>
    </w:p>
    <w:p w14:paraId="5C7D32C3">
      <w:pPr>
        <w:spacing w:after="60" w:line="300" w:lineRule="auto"/>
        <w:ind w:left="0" w:leftChars="0" w:firstLine="0" w:firstLineChars="0"/>
        <w:rPr>
          <w:rFonts w:ascii="Times New Roman" w:hAnsi="Times New Roman" w:eastAsia="宋体"/>
          <w:b w:val="0"/>
          <w:bCs w:val="0"/>
          <w:color w:val="000000"/>
          <w:sz w:val="22"/>
        </w:rPr>
      </w:pPr>
      <w:r>
        <w:rPr>
          <w:rFonts w:ascii="Times New Roman" w:hAnsi="Times New Roman" w:eastAsia="宋体"/>
          <w:b w:val="0"/>
          <w:bCs w:val="0"/>
          <w:color w:val="000000"/>
          <w:sz w:val="22"/>
        </w:rPr>
        <w:t>[4] López de Prado M. Advances in Financial Machine Learning[M]. Hoboken, NJ: John Wiley &amp; Sons, 2018.</w:t>
      </w:r>
    </w:p>
    <w:p w14:paraId="1CA6E708">
      <w:pPr>
        <w:spacing w:after="60" w:line="300" w:lineRule="auto"/>
        <w:ind w:left="0" w:leftChars="0" w:firstLine="0" w:firstLineChars="0"/>
        <w:rPr>
          <w:rFonts w:ascii="Times New Roman" w:hAnsi="Times New Roman" w:eastAsia="宋体"/>
          <w:b w:val="0"/>
          <w:bCs w:val="0"/>
          <w:color w:val="000000"/>
          <w:sz w:val="22"/>
        </w:rPr>
      </w:pPr>
      <w:r>
        <w:rPr>
          <w:rFonts w:ascii="Times New Roman" w:hAnsi="Times New Roman" w:eastAsia="宋体"/>
          <w:b w:val="0"/>
          <w:bCs w:val="0"/>
          <w:color w:val="000000"/>
          <w:sz w:val="22"/>
        </w:rPr>
        <w:t>[5] Bailey D H, Borwein J M, López de Prado M, Zhu Q J. The Probability of Backtest Overfitting[J]. The Journal of Computational Finance, 2017, 20(4): 39-69.</w:t>
      </w:r>
    </w:p>
    <w:p w14:paraId="18BC35AD">
      <w:pPr>
        <w:spacing w:after="60" w:line="300" w:lineRule="auto"/>
        <w:ind w:left="0" w:leftChars="0" w:firstLine="0" w:firstLineChars="0"/>
        <w:rPr>
          <w:rFonts w:ascii="Times New Roman" w:hAnsi="Times New Roman" w:eastAsia="宋体"/>
          <w:b w:val="0"/>
          <w:bCs w:val="0"/>
          <w:color w:val="000000"/>
          <w:sz w:val="22"/>
        </w:rPr>
      </w:pPr>
      <w:r>
        <w:rPr>
          <w:rFonts w:ascii="Times New Roman" w:hAnsi="Times New Roman" w:eastAsia="宋体"/>
          <w:b w:val="0"/>
          <w:bCs w:val="0"/>
          <w:color w:val="000000"/>
          <w:sz w:val="22"/>
        </w:rPr>
        <w:t>[6] DeMiguel V, Garlappi L, Uppal R. Optimal Versus Naive Diversification: How Inefficient Is the 1/N Portfolio Strategy?[J]. The Review of Financial Studies, 2009, 22(5): 1915-1953.</w:t>
      </w:r>
    </w:p>
    <w:p w14:paraId="49B071AE">
      <w:pPr>
        <w:spacing w:after="60" w:line="300" w:lineRule="auto"/>
        <w:ind w:left="0" w:leftChars="0" w:firstLine="0" w:firstLineChars="0"/>
        <w:rPr>
          <w:rFonts w:ascii="Times New Roman" w:hAnsi="Times New Roman" w:eastAsia="宋体"/>
          <w:b w:val="0"/>
          <w:bCs w:val="0"/>
          <w:color w:val="000000"/>
          <w:sz w:val="22"/>
        </w:rPr>
      </w:pPr>
      <w:r>
        <w:rPr>
          <w:rFonts w:ascii="Times New Roman" w:hAnsi="Times New Roman" w:eastAsia="宋体"/>
          <w:b w:val="0"/>
          <w:bCs w:val="0"/>
          <w:color w:val="000000"/>
          <w:sz w:val="22"/>
        </w:rPr>
        <w:t>[7] Moreira A, Muir T. Volatility-Managed Portfolios[J]. The Journal of Finance, 2017, 72(4): 1611-1644.</w:t>
      </w:r>
    </w:p>
    <w:p w14:paraId="049B2883">
      <w:pPr>
        <w:spacing w:after="60" w:line="300" w:lineRule="auto"/>
        <w:ind w:left="0" w:leftChars="0" w:firstLine="0" w:firstLineChars="0"/>
        <w:rPr>
          <w:b w:val="0"/>
          <w:bCs w:val="0"/>
        </w:rPr>
      </w:pPr>
      <w:r>
        <w:rPr>
          <w:rFonts w:ascii="Times New Roman" w:hAnsi="Times New Roman" w:eastAsia="宋体"/>
          <w:b w:val="0"/>
          <w:bCs w:val="0"/>
          <w:color w:val="000000"/>
          <w:sz w:val="22"/>
        </w:rPr>
        <w:br w:type="page"/>
      </w:r>
    </w:p>
    <w:p w14:paraId="47AE3862">
      <w:pPr>
        <w:pStyle w:val="3"/>
        <w:jc w:val="center"/>
        <w:rPr>
          <w:b w:val="0"/>
          <w:bCs w:val="0"/>
        </w:rPr>
      </w:pPr>
      <w:bookmarkStart w:id="28" w:name="_Toc5039"/>
      <w:r>
        <w:rPr>
          <w:rFonts w:ascii="Times New Roman" w:hAnsi="Times New Roman" w:eastAsia="黑体"/>
          <w:b w:val="0"/>
          <w:bCs w:val="0"/>
          <w:color w:val="000000"/>
          <w:sz w:val="28"/>
        </w:rPr>
        <w:t>附录A  最终22个XGBoost特征</w:t>
      </w:r>
      <w:bookmarkEnd w:id="28"/>
    </w:p>
    <w:p w14:paraId="5701A484">
      <w:pPr>
        <w:spacing w:after="0" w:line="300" w:lineRule="auto"/>
        <w:jc w:val="both"/>
        <w:rPr>
          <w:b w:val="0"/>
          <w:bCs w:val="0"/>
        </w:rPr>
      </w:pPr>
      <w:r>
        <w:rPr>
          <w:rFonts w:ascii="Times New Roman" w:hAnsi="Times New Roman" w:eastAsia="宋体"/>
          <w:b w:val="0"/>
          <w:bCs w:val="0"/>
          <w:color w:val="000000"/>
          <w:sz w:val="24"/>
        </w:rPr>
        <w:t>下表列示最终模型实际使用的22个输入特征。所有特征均由信号日及以前的历史行情计算，横截面排名特征均在同一信号日的10只ETF之间计算。</w:t>
      </w:r>
    </w:p>
    <w:p w14:paraId="67A3417B">
      <w:pPr>
        <w:keepNext/>
        <w:spacing w:before="100" w:after="60"/>
        <w:jc w:val="center"/>
        <w:rPr>
          <w:b w:val="0"/>
          <w:bCs w:val="0"/>
        </w:rPr>
      </w:pPr>
      <w:r>
        <w:rPr>
          <w:rFonts w:ascii="Times New Roman" w:hAnsi="Times New Roman" w:eastAsia="宋体"/>
          <w:b w:val="0"/>
          <w:bCs w:val="0"/>
          <w:color w:val="000000"/>
          <w:sz w:val="21"/>
        </w:rPr>
        <w:t>表 A.1  最终22个XGBoost输入特征</w:t>
      </w:r>
    </w:p>
    <w:tbl>
      <w:tblPr>
        <w:tblStyle w:val="34"/>
        <w:tblW w:w="0" w:type="auto"/>
        <w:jc w:val="center"/>
        <w:tblLayout w:type="autofit"/>
        <w:tblCellMar>
          <w:top w:w="0" w:type="dxa"/>
          <w:left w:w="108" w:type="dxa"/>
          <w:bottom w:w="0" w:type="dxa"/>
          <w:right w:w="108" w:type="dxa"/>
        </w:tblCellMar>
      </w:tblPr>
      <w:tblGrid>
        <w:gridCol w:w="3004"/>
        <w:gridCol w:w="5782"/>
      </w:tblGrid>
      <w:tr w14:paraId="3C5E84A6">
        <w:tblPrEx>
          <w:tblCellMar>
            <w:top w:w="0" w:type="dxa"/>
            <w:left w:w="108" w:type="dxa"/>
            <w:bottom w:w="0" w:type="dxa"/>
            <w:right w:w="108" w:type="dxa"/>
          </w:tblCellMar>
        </w:tblPrEx>
        <w:trPr>
          <w:cantSplit/>
          <w:jc w:val="center"/>
        </w:trPr>
        <w:tc>
          <w:tcPr>
            <w:tcW w:w="3004"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3851837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特征</w:t>
            </w:r>
          </w:p>
        </w:tc>
        <w:tc>
          <w:tcPr>
            <w:tcW w:w="5782"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1F6208D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定义/含义</w:t>
            </w:r>
          </w:p>
        </w:tc>
      </w:tr>
      <w:tr w14:paraId="7DE09479">
        <w:tblPrEx>
          <w:tblCellMar>
            <w:top w:w="0" w:type="dxa"/>
            <w:left w:w="108" w:type="dxa"/>
            <w:bottom w:w="0" w:type="dxa"/>
            <w:right w:w="108" w:type="dxa"/>
          </w:tblCellMar>
        </w:tblPrEx>
        <w:trPr>
          <w:cantSplit/>
          <w:jc w:val="center"/>
        </w:trPr>
        <w:tc>
          <w:tcPr>
            <w:tcW w:w="3004"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E83014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ret_5</w:t>
            </w:r>
          </w:p>
        </w:tc>
        <w:tc>
          <w:tcPr>
            <w:tcW w:w="5782"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EBE7DC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过去5个交易日累计收益</w:t>
            </w:r>
          </w:p>
        </w:tc>
      </w:tr>
      <w:tr w14:paraId="43FE4FE3">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75386D2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ret_10</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30A2FC4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过去10个交易日累计收益</w:t>
            </w:r>
          </w:p>
        </w:tc>
      </w:tr>
      <w:tr w14:paraId="2EFA59AC">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740EAC1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ret_20</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584A5AD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过去20个交易日累计收益</w:t>
            </w:r>
          </w:p>
        </w:tc>
      </w:tr>
      <w:tr w14:paraId="5D4D4DC7">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7172351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ret_60</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761079F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过去60个交易日累计收益</w:t>
            </w:r>
          </w:p>
        </w:tc>
      </w:tr>
      <w:tr w14:paraId="0EEEAFE3">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2B98E14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ret_120</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705EC08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过去120个交易日累计收益</w:t>
            </w:r>
          </w:p>
        </w:tc>
      </w:tr>
      <w:tr w14:paraId="59BD2CB7">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157F2C3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ma_20_ratio</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48E4AB3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收盘价/20日均线−1</w:t>
            </w:r>
          </w:p>
        </w:tc>
      </w:tr>
      <w:tr w14:paraId="51A49063">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481F6EC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ma_60_ratio</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3911AC7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收盘价/60日均线−1</w:t>
            </w:r>
          </w:p>
        </w:tc>
      </w:tr>
      <w:tr w14:paraId="69E60414">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40D9B37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ma_120_ratio</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02AF1EF2">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收盘价/120日均线−1</w:t>
            </w:r>
          </w:p>
        </w:tc>
      </w:tr>
      <w:tr w14:paraId="40B2AF13">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14BC7F2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vol_20</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770539F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过去20日日收益标准差年化</w:t>
            </w:r>
          </w:p>
        </w:tc>
      </w:tr>
      <w:tr w14:paraId="68EFEFA0">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24D2279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vol_60</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5363A08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过去60日日收益标准差年化</w:t>
            </w:r>
          </w:p>
        </w:tc>
      </w:tr>
      <w:tr w14:paraId="0D2CA8D8">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6C6FC44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mdd_60</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474AE80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过去60日最大回撤</w:t>
            </w:r>
          </w:p>
        </w:tc>
      </w:tr>
      <w:tr w14:paraId="3F3A86E1">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101C789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rsi_14</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2F75F13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14日相对强弱指标（RSI）标准化值</w:t>
            </w:r>
          </w:p>
        </w:tc>
      </w:tr>
      <w:tr w14:paraId="6ADAAF9E">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783BC91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macd_ratio</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05ABBAD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MACD差值相对价格的比例</w:t>
            </w:r>
          </w:p>
        </w:tc>
      </w:tr>
      <w:tr w14:paraId="3F030A46">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2D48005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volume_ratio_20</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6BDE2C2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成交量/20日平均成交量</w:t>
            </w:r>
          </w:p>
        </w:tc>
      </w:tr>
      <w:tr w14:paraId="692BC5DD">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3FF3A81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amount_ratio_20</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51E3713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成交额/20日平均成交额</w:t>
            </w:r>
          </w:p>
        </w:tc>
      </w:tr>
      <w:tr w14:paraId="1A6037B6">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3E4FEB4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amount_chg_20</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6F9E123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成交额相对20日前变化率</w:t>
            </w:r>
          </w:p>
        </w:tc>
      </w:tr>
      <w:tr w14:paraId="601A0069">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4EBF8E0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ret_20_rank</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1271A5B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20日收益的横截面百分位排名</w:t>
            </w:r>
          </w:p>
        </w:tc>
      </w:tr>
      <w:tr w14:paraId="02D6632F">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34C28C6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ret_60_rank</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6265106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60日收益的横截面百分位排名</w:t>
            </w:r>
          </w:p>
        </w:tc>
      </w:tr>
      <w:tr w14:paraId="0A34A0B0">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70CD0AA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ret_120_rank</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1DA713B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120日收益的横截面百分位排名</w:t>
            </w:r>
          </w:p>
        </w:tc>
      </w:tr>
      <w:tr w14:paraId="307C9AC1">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3ADDDD8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ma_60_ratio_rank</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1B301AB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60日均线偏离的横截面百分位排名</w:t>
            </w:r>
          </w:p>
        </w:tc>
      </w:tr>
      <w:tr w14:paraId="3C564BC2">
        <w:tblPrEx>
          <w:tblCellMar>
            <w:top w:w="0" w:type="dxa"/>
            <w:left w:w="108" w:type="dxa"/>
            <w:bottom w:w="0" w:type="dxa"/>
            <w:right w:w="108" w:type="dxa"/>
          </w:tblCellMar>
        </w:tblPrEx>
        <w:trPr>
          <w:cantSplit/>
          <w:jc w:val="center"/>
        </w:trPr>
        <w:tc>
          <w:tcPr>
            <w:tcW w:w="3004" w:type="dxa"/>
            <w:tcBorders>
              <w:top w:val="nil"/>
              <w:left w:val="nil"/>
              <w:bottom w:val="nil"/>
              <w:right w:val="nil"/>
            </w:tcBorders>
            <w:shd w:val="clear" w:color="auto" w:fill="FFFFFF"/>
            <w:tcMar>
              <w:top w:w="60" w:type="dxa"/>
              <w:left w:w="80" w:type="dxa"/>
              <w:bottom w:w="60" w:type="dxa"/>
              <w:right w:w="80" w:type="dxa"/>
            </w:tcMar>
            <w:vAlign w:val="center"/>
          </w:tcPr>
          <w:p w14:paraId="5E6E34A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vol_20_rank</w:t>
            </w:r>
          </w:p>
        </w:tc>
        <w:tc>
          <w:tcPr>
            <w:tcW w:w="5782" w:type="dxa"/>
            <w:tcBorders>
              <w:top w:val="nil"/>
              <w:left w:val="nil"/>
              <w:bottom w:val="nil"/>
              <w:right w:val="nil"/>
            </w:tcBorders>
            <w:shd w:val="clear" w:color="auto" w:fill="FFFFFF"/>
            <w:tcMar>
              <w:top w:w="60" w:type="dxa"/>
              <w:left w:w="80" w:type="dxa"/>
              <w:bottom w:w="60" w:type="dxa"/>
              <w:right w:w="80" w:type="dxa"/>
            </w:tcMar>
            <w:vAlign w:val="center"/>
          </w:tcPr>
          <w:p w14:paraId="70D01AB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20日波动的横截面百分位排名</w:t>
            </w:r>
          </w:p>
        </w:tc>
      </w:tr>
      <w:tr w14:paraId="0A3B82AE">
        <w:tblPrEx>
          <w:tblCellMar>
            <w:top w:w="0" w:type="dxa"/>
            <w:left w:w="108" w:type="dxa"/>
            <w:bottom w:w="0" w:type="dxa"/>
            <w:right w:w="108" w:type="dxa"/>
          </w:tblCellMar>
        </w:tblPrEx>
        <w:trPr>
          <w:cantSplit/>
          <w:jc w:val="center"/>
        </w:trPr>
        <w:tc>
          <w:tcPr>
            <w:tcW w:w="3004"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D299EA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mdd_60_rank</w:t>
            </w:r>
          </w:p>
        </w:tc>
        <w:tc>
          <w:tcPr>
            <w:tcW w:w="5782"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70D6E88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60日最大回撤的横截面百分位排名</w:t>
            </w:r>
          </w:p>
        </w:tc>
      </w:tr>
    </w:tbl>
    <w:p w14:paraId="0599F1B2">
      <w:pPr>
        <w:spacing w:after="0"/>
        <w:rPr>
          <w:b w:val="0"/>
          <w:bCs w:val="0"/>
        </w:rPr>
      </w:pPr>
    </w:p>
    <w:p w14:paraId="54D4B044">
      <w:pPr>
        <w:rPr>
          <w:b w:val="0"/>
          <w:bCs w:val="0"/>
        </w:rPr>
      </w:pPr>
      <w:r>
        <w:rPr>
          <w:b w:val="0"/>
          <w:bCs w:val="0"/>
        </w:rPr>
        <w:br w:type="page"/>
      </w:r>
    </w:p>
    <w:p w14:paraId="6C5C2099">
      <w:pPr>
        <w:pStyle w:val="3"/>
        <w:jc w:val="center"/>
        <w:rPr>
          <w:b w:val="0"/>
          <w:bCs w:val="0"/>
        </w:rPr>
      </w:pPr>
      <w:bookmarkStart w:id="29" w:name="_Toc17865"/>
      <w:r>
        <w:rPr>
          <w:rFonts w:ascii="Times New Roman" w:hAnsi="Times New Roman" w:eastAsia="黑体"/>
          <w:b w:val="0"/>
          <w:bCs w:val="0"/>
          <w:color w:val="000000"/>
          <w:sz w:val="28"/>
        </w:rPr>
        <w:t>附录B  最终冻结参数与规则</w:t>
      </w:r>
      <w:bookmarkEnd w:id="29"/>
    </w:p>
    <w:p w14:paraId="3B55AA54">
      <w:pPr>
        <w:spacing w:after="0" w:line="300" w:lineRule="auto"/>
        <w:jc w:val="both"/>
        <w:rPr>
          <w:b w:val="0"/>
          <w:bCs w:val="0"/>
        </w:rPr>
      </w:pPr>
      <w:r>
        <w:rPr>
          <w:rFonts w:ascii="Times New Roman" w:hAnsi="Times New Roman" w:eastAsia="宋体"/>
          <w:b w:val="0"/>
          <w:bCs w:val="0"/>
          <w:color w:val="000000"/>
          <w:sz w:val="24"/>
        </w:rPr>
        <w:t>下表汇总最终独立测试前已经确定的模型参数和交易规则。最终测试期开始后，上述设定不再根据测试结果进行调整。</w:t>
      </w:r>
    </w:p>
    <w:p w14:paraId="6AAE52E5">
      <w:pPr>
        <w:keepNext/>
        <w:spacing w:before="100" w:after="60"/>
        <w:jc w:val="center"/>
        <w:rPr>
          <w:b w:val="0"/>
          <w:bCs w:val="0"/>
        </w:rPr>
      </w:pPr>
      <w:r>
        <w:rPr>
          <w:rFonts w:ascii="Times New Roman" w:hAnsi="Times New Roman" w:eastAsia="宋体"/>
          <w:b w:val="0"/>
          <w:bCs w:val="0"/>
          <w:color w:val="000000"/>
          <w:sz w:val="21"/>
        </w:rPr>
        <w:t>表 B.1  最终模型参数与交易规则</w:t>
      </w:r>
    </w:p>
    <w:tbl>
      <w:tblPr>
        <w:tblStyle w:val="34"/>
        <w:tblW w:w="0" w:type="auto"/>
        <w:jc w:val="center"/>
        <w:tblLayout w:type="autofit"/>
        <w:tblCellMar>
          <w:top w:w="0" w:type="dxa"/>
          <w:left w:w="108" w:type="dxa"/>
          <w:bottom w:w="0" w:type="dxa"/>
          <w:right w:w="108" w:type="dxa"/>
        </w:tblCellMar>
      </w:tblPr>
      <w:tblGrid>
        <w:gridCol w:w="3968"/>
        <w:gridCol w:w="4818"/>
      </w:tblGrid>
      <w:tr w14:paraId="7F740472">
        <w:trPr>
          <w:cantSplit/>
          <w:jc w:val="center"/>
        </w:trPr>
        <w:tc>
          <w:tcPr>
            <w:tcW w:w="3968"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67A7D5D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参数/规则</w:t>
            </w:r>
          </w:p>
        </w:tc>
        <w:tc>
          <w:tcPr>
            <w:tcW w:w="4818"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014FF9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最终设定</w:t>
            </w:r>
          </w:p>
        </w:tc>
      </w:tr>
      <w:tr w14:paraId="40C1E22B">
        <w:tblPrEx>
          <w:tblCellMar>
            <w:top w:w="0" w:type="dxa"/>
            <w:left w:w="108" w:type="dxa"/>
            <w:bottom w:w="0" w:type="dxa"/>
            <w:right w:w="108" w:type="dxa"/>
          </w:tblCellMar>
        </w:tblPrEx>
        <w:trPr>
          <w:cantSplit/>
          <w:jc w:val="center"/>
        </w:trPr>
        <w:tc>
          <w:tcPr>
            <w:tcW w:w="3968"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FE6C87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树数量（n_estimators）</w:t>
            </w:r>
          </w:p>
        </w:tc>
        <w:tc>
          <w:tcPr>
            <w:tcW w:w="4818"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76D5DD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120</w:t>
            </w:r>
          </w:p>
        </w:tc>
      </w:tr>
      <w:tr w14:paraId="3CA88EFA">
        <w:tblPrEx>
          <w:tblCellMar>
            <w:top w:w="0" w:type="dxa"/>
            <w:left w:w="108" w:type="dxa"/>
            <w:bottom w:w="0" w:type="dxa"/>
            <w:right w:w="108" w:type="dxa"/>
          </w:tblCellMar>
        </w:tblPrEx>
        <w:trPr>
          <w:cantSplit/>
          <w:jc w:val="center"/>
        </w:trPr>
        <w:tc>
          <w:tcPr>
            <w:tcW w:w="3968" w:type="dxa"/>
            <w:tcBorders>
              <w:top w:val="nil"/>
              <w:left w:val="nil"/>
              <w:bottom w:val="nil"/>
              <w:right w:val="nil"/>
            </w:tcBorders>
            <w:shd w:val="clear" w:color="auto" w:fill="FFFFFF"/>
            <w:tcMar>
              <w:top w:w="60" w:type="dxa"/>
              <w:left w:w="80" w:type="dxa"/>
              <w:bottom w:w="60" w:type="dxa"/>
              <w:right w:w="80" w:type="dxa"/>
            </w:tcMar>
            <w:vAlign w:val="center"/>
          </w:tcPr>
          <w:p w14:paraId="1A9E28F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单棵树最大深度（max_depth）</w:t>
            </w:r>
          </w:p>
        </w:tc>
        <w:tc>
          <w:tcPr>
            <w:tcW w:w="4818" w:type="dxa"/>
            <w:tcBorders>
              <w:top w:val="nil"/>
              <w:left w:val="nil"/>
              <w:bottom w:val="nil"/>
              <w:right w:val="nil"/>
            </w:tcBorders>
            <w:shd w:val="clear" w:color="auto" w:fill="FFFFFF"/>
            <w:tcMar>
              <w:top w:w="60" w:type="dxa"/>
              <w:left w:w="80" w:type="dxa"/>
              <w:bottom w:w="60" w:type="dxa"/>
              <w:right w:w="80" w:type="dxa"/>
            </w:tcMar>
            <w:vAlign w:val="center"/>
          </w:tcPr>
          <w:p w14:paraId="64CDCDE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3</w:t>
            </w:r>
          </w:p>
        </w:tc>
      </w:tr>
      <w:tr w14:paraId="7A3C31F2">
        <w:tblPrEx>
          <w:tblCellMar>
            <w:top w:w="0" w:type="dxa"/>
            <w:left w:w="108" w:type="dxa"/>
            <w:bottom w:w="0" w:type="dxa"/>
            <w:right w:w="108" w:type="dxa"/>
          </w:tblCellMar>
        </w:tblPrEx>
        <w:trPr>
          <w:cantSplit/>
          <w:jc w:val="center"/>
        </w:trPr>
        <w:tc>
          <w:tcPr>
            <w:tcW w:w="3968" w:type="dxa"/>
            <w:tcBorders>
              <w:top w:val="nil"/>
              <w:left w:val="nil"/>
              <w:bottom w:val="nil"/>
              <w:right w:val="nil"/>
            </w:tcBorders>
            <w:shd w:val="clear" w:color="auto" w:fill="FFFFFF"/>
            <w:tcMar>
              <w:top w:w="60" w:type="dxa"/>
              <w:left w:w="80" w:type="dxa"/>
              <w:bottom w:w="60" w:type="dxa"/>
              <w:right w:w="80" w:type="dxa"/>
            </w:tcMar>
            <w:vAlign w:val="center"/>
          </w:tcPr>
          <w:p w14:paraId="22229408">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学习率（learning_rate）</w:t>
            </w:r>
          </w:p>
        </w:tc>
        <w:tc>
          <w:tcPr>
            <w:tcW w:w="4818" w:type="dxa"/>
            <w:tcBorders>
              <w:top w:val="nil"/>
              <w:left w:val="nil"/>
              <w:bottom w:val="nil"/>
              <w:right w:val="nil"/>
            </w:tcBorders>
            <w:shd w:val="clear" w:color="auto" w:fill="FFFFFF"/>
            <w:tcMar>
              <w:top w:w="60" w:type="dxa"/>
              <w:left w:w="80" w:type="dxa"/>
              <w:bottom w:w="60" w:type="dxa"/>
              <w:right w:w="80" w:type="dxa"/>
            </w:tcMar>
            <w:vAlign w:val="center"/>
          </w:tcPr>
          <w:p w14:paraId="0EF90D7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0.05</w:t>
            </w:r>
          </w:p>
        </w:tc>
      </w:tr>
      <w:tr w14:paraId="446F4DDF">
        <w:tblPrEx>
          <w:tblCellMar>
            <w:top w:w="0" w:type="dxa"/>
            <w:left w:w="108" w:type="dxa"/>
            <w:bottom w:w="0" w:type="dxa"/>
            <w:right w:w="108" w:type="dxa"/>
          </w:tblCellMar>
        </w:tblPrEx>
        <w:trPr>
          <w:cantSplit/>
          <w:jc w:val="center"/>
        </w:trPr>
        <w:tc>
          <w:tcPr>
            <w:tcW w:w="3968" w:type="dxa"/>
            <w:tcBorders>
              <w:top w:val="nil"/>
              <w:left w:val="nil"/>
              <w:bottom w:val="nil"/>
              <w:right w:val="nil"/>
            </w:tcBorders>
            <w:shd w:val="clear" w:color="auto" w:fill="FFFFFF"/>
            <w:tcMar>
              <w:top w:w="60" w:type="dxa"/>
              <w:left w:w="80" w:type="dxa"/>
              <w:bottom w:w="60" w:type="dxa"/>
              <w:right w:w="80" w:type="dxa"/>
            </w:tcMar>
            <w:vAlign w:val="center"/>
          </w:tcPr>
          <w:p w14:paraId="4D58D02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行采样比例（subsample）</w:t>
            </w:r>
          </w:p>
        </w:tc>
        <w:tc>
          <w:tcPr>
            <w:tcW w:w="4818" w:type="dxa"/>
            <w:tcBorders>
              <w:top w:val="nil"/>
              <w:left w:val="nil"/>
              <w:bottom w:val="nil"/>
              <w:right w:val="nil"/>
            </w:tcBorders>
            <w:shd w:val="clear" w:color="auto" w:fill="FFFFFF"/>
            <w:tcMar>
              <w:top w:w="60" w:type="dxa"/>
              <w:left w:w="80" w:type="dxa"/>
              <w:bottom w:w="60" w:type="dxa"/>
              <w:right w:w="80" w:type="dxa"/>
            </w:tcMar>
            <w:vAlign w:val="center"/>
          </w:tcPr>
          <w:p w14:paraId="7F198597">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0.8</w:t>
            </w:r>
          </w:p>
        </w:tc>
      </w:tr>
      <w:tr w14:paraId="1ED3249B">
        <w:tblPrEx>
          <w:tblCellMar>
            <w:top w:w="0" w:type="dxa"/>
            <w:left w:w="108" w:type="dxa"/>
            <w:bottom w:w="0" w:type="dxa"/>
            <w:right w:w="108" w:type="dxa"/>
          </w:tblCellMar>
        </w:tblPrEx>
        <w:trPr>
          <w:cantSplit/>
          <w:jc w:val="center"/>
        </w:trPr>
        <w:tc>
          <w:tcPr>
            <w:tcW w:w="3968" w:type="dxa"/>
            <w:tcBorders>
              <w:top w:val="nil"/>
              <w:left w:val="nil"/>
              <w:bottom w:val="nil"/>
              <w:right w:val="nil"/>
            </w:tcBorders>
            <w:shd w:val="clear" w:color="auto" w:fill="FFFFFF"/>
            <w:tcMar>
              <w:top w:w="60" w:type="dxa"/>
              <w:left w:w="80" w:type="dxa"/>
              <w:bottom w:w="60" w:type="dxa"/>
              <w:right w:w="80" w:type="dxa"/>
            </w:tcMar>
            <w:vAlign w:val="center"/>
          </w:tcPr>
          <w:p w14:paraId="045D1553">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特征采样比例（colsample_bytree）</w:t>
            </w:r>
          </w:p>
        </w:tc>
        <w:tc>
          <w:tcPr>
            <w:tcW w:w="4818" w:type="dxa"/>
            <w:tcBorders>
              <w:top w:val="nil"/>
              <w:left w:val="nil"/>
              <w:bottom w:val="nil"/>
              <w:right w:val="nil"/>
            </w:tcBorders>
            <w:shd w:val="clear" w:color="auto" w:fill="FFFFFF"/>
            <w:tcMar>
              <w:top w:w="60" w:type="dxa"/>
              <w:left w:w="80" w:type="dxa"/>
              <w:bottom w:w="60" w:type="dxa"/>
              <w:right w:w="80" w:type="dxa"/>
            </w:tcMar>
            <w:vAlign w:val="center"/>
          </w:tcPr>
          <w:p w14:paraId="5339D5A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0.8</w:t>
            </w:r>
          </w:p>
        </w:tc>
      </w:tr>
      <w:tr w14:paraId="45A32891">
        <w:tblPrEx>
          <w:tblCellMar>
            <w:top w:w="0" w:type="dxa"/>
            <w:left w:w="108" w:type="dxa"/>
            <w:bottom w:w="0" w:type="dxa"/>
            <w:right w:w="108" w:type="dxa"/>
          </w:tblCellMar>
        </w:tblPrEx>
        <w:trPr>
          <w:cantSplit/>
          <w:jc w:val="center"/>
        </w:trPr>
        <w:tc>
          <w:tcPr>
            <w:tcW w:w="3968" w:type="dxa"/>
            <w:tcBorders>
              <w:top w:val="nil"/>
              <w:left w:val="nil"/>
              <w:bottom w:val="nil"/>
              <w:right w:val="nil"/>
            </w:tcBorders>
            <w:shd w:val="clear" w:color="auto" w:fill="FFFFFF"/>
            <w:tcMar>
              <w:top w:w="60" w:type="dxa"/>
              <w:left w:w="80" w:type="dxa"/>
              <w:bottom w:w="60" w:type="dxa"/>
              <w:right w:w="80" w:type="dxa"/>
            </w:tcMar>
            <w:vAlign w:val="center"/>
          </w:tcPr>
          <w:p w14:paraId="5AB0162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叶节点最小权重（min_child_weight）</w:t>
            </w:r>
          </w:p>
        </w:tc>
        <w:tc>
          <w:tcPr>
            <w:tcW w:w="4818" w:type="dxa"/>
            <w:tcBorders>
              <w:top w:val="nil"/>
              <w:left w:val="nil"/>
              <w:bottom w:val="nil"/>
              <w:right w:val="nil"/>
            </w:tcBorders>
            <w:shd w:val="clear" w:color="auto" w:fill="FFFFFF"/>
            <w:tcMar>
              <w:top w:w="60" w:type="dxa"/>
              <w:left w:w="80" w:type="dxa"/>
              <w:bottom w:w="60" w:type="dxa"/>
              <w:right w:w="80" w:type="dxa"/>
            </w:tcMar>
            <w:vAlign w:val="center"/>
          </w:tcPr>
          <w:p w14:paraId="5EFC30DB">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5</w:t>
            </w:r>
          </w:p>
        </w:tc>
      </w:tr>
      <w:tr w14:paraId="6AFD0446">
        <w:tblPrEx>
          <w:tblCellMar>
            <w:top w:w="0" w:type="dxa"/>
            <w:left w:w="108" w:type="dxa"/>
            <w:bottom w:w="0" w:type="dxa"/>
            <w:right w:w="108" w:type="dxa"/>
          </w:tblCellMar>
        </w:tblPrEx>
        <w:trPr>
          <w:cantSplit/>
          <w:jc w:val="center"/>
        </w:trPr>
        <w:tc>
          <w:tcPr>
            <w:tcW w:w="3968" w:type="dxa"/>
            <w:tcBorders>
              <w:top w:val="nil"/>
              <w:left w:val="nil"/>
              <w:bottom w:val="nil"/>
              <w:right w:val="nil"/>
            </w:tcBorders>
            <w:shd w:val="clear" w:color="auto" w:fill="FFFFFF"/>
            <w:tcMar>
              <w:top w:w="60" w:type="dxa"/>
              <w:left w:w="80" w:type="dxa"/>
              <w:bottom w:w="60" w:type="dxa"/>
              <w:right w:w="80" w:type="dxa"/>
            </w:tcMar>
            <w:vAlign w:val="center"/>
          </w:tcPr>
          <w:p w14:paraId="3D8E7DB0">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L2正则化系数（reg_lambda）</w:t>
            </w:r>
          </w:p>
        </w:tc>
        <w:tc>
          <w:tcPr>
            <w:tcW w:w="4818" w:type="dxa"/>
            <w:tcBorders>
              <w:top w:val="nil"/>
              <w:left w:val="nil"/>
              <w:bottom w:val="nil"/>
              <w:right w:val="nil"/>
            </w:tcBorders>
            <w:shd w:val="clear" w:color="auto" w:fill="FFFFFF"/>
            <w:tcMar>
              <w:top w:w="60" w:type="dxa"/>
              <w:left w:w="80" w:type="dxa"/>
              <w:bottom w:w="60" w:type="dxa"/>
              <w:right w:w="80" w:type="dxa"/>
            </w:tcMar>
            <w:vAlign w:val="center"/>
          </w:tcPr>
          <w:p w14:paraId="36EC581D">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3.0</w:t>
            </w:r>
          </w:p>
        </w:tc>
      </w:tr>
      <w:tr w14:paraId="2C7A9D83">
        <w:tblPrEx>
          <w:tblCellMar>
            <w:top w:w="0" w:type="dxa"/>
            <w:left w:w="108" w:type="dxa"/>
            <w:bottom w:w="0" w:type="dxa"/>
            <w:right w:w="108" w:type="dxa"/>
          </w:tblCellMar>
        </w:tblPrEx>
        <w:trPr>
          <w:cantSplit/>
          <w:jc w:val="center"/>
        </w:trPr>
        <w:tc>
          <w:tcPr>
            <w:tcW w:w="3968" w:type="dxa"/>
            <w:tcBorders>
              <w:top w:val="nil"/>
              <w:left w:val="nil"/>
              <w:bottom w:val="nil"/>
              <w:right w:val="nil"/>
            </w:tcBorders>
            <w:shd w:val="clear" w:color="auto" w:fill="FFFFFF"/>
            <w:tcMar>
              <w:top w:w="60" w:type="dxa"/>
              <w:left w:w="80" w:type="dxa"/>
              <w:bottom w:w="60" w:type="dxa"/>
              <w:right w:w="80" w:type="dxa"/>
            </w:tcMar>
            <w:vAlign w:val="center"/>
          </w:tcPr>
          <w:p w14:paraId="1B183C8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L1正则化系数（</w:t>
            </w:r>
            <w:bookmarkStart w:id="30" w:name="_GoBack"/>
            <w:bookmarkEnd w:id="30"/>
            <w:r>
              <w:rPr>
                <w:rFonts w:ascii="Times New Roman" w:hAnsi="Times New Roman" w:eastAsia="宋体"/>
                <w:b w:val="0"/>
                <w:bCs w:val="0"/>
                <w:color w:val="000000"/>
                <w:sz w:val="21"/>
              </w:rPr>
              <w:t>reg_alpha）</w:t>
            </w:r>
          </w:p>
        </w:tc>
        <w:tc>
          <w:tcPr>
            <w:tcW w:w="4818" w:type="dxa"/>
            <w:tcBorders>
              <w:top w:val="nil"/>
              <w:left w:val="nil"/>
              <w:bottom w:val="nil"/>
              <w:right w:val="nil"/>
            </w:tcBorders>
            <w:shd w:val="clear" w:color="auto" w:fill="FFFFFF"/>
            <w:tcMar>
              <w:top w:w="60" w:type="dxa"/>
              <w:left w:w="80" w:type="dxa"/>
              <w:bottom w:w="60" w:type="dxa"/>
              <w:right w:w="80" w:type="dxa"/>
            </w:tcMar>
            <w:vAlign w:val="center"/>
          </w:tcPr>
          <w:p w14:paraId="46C4FAD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0.1</w:t>
            </w:r>
          </w:p>
        </w:tc>
      </w:tr>
      <w:tr w14:paraId="0B861F22">
        <w:tblPrEx>
          <w:tblCellMar>
            <w:top w:w="0" w:type="dxa"/>
            <w:left w:w="108" w:type="dxa"/>
            <w:bottom w:w="0" w:type="dxa"/>
            <w:right w:w="108" w:type="dxa"/>
          </w:tblCellMar>
        </w:tblPrEx>
        <w:trPr>
          <w:cantSplit/>
          <w:jc w:val="center"/>
        </w:trPr>
        <w:tc>
          <w:tcPr>
            <w:tcW w:w="3968" w:type="dxa"/>
            <w:tcBorders>
              <w:top w:val="nil"/>
              <w:left w:val="nil"/>
              <w:bottom w:val="nil"/>
              <w:right w:val="nil"/>
            </w:tcBorders>
            <w:shd w:val="clear" w:color="auto" w:fill="FFFFFF"/>
            <w:tcMar>
              <w:top w:w="60" w:type="dxa"/>
              <w:left w:w="80" w:type="dxa"/>
              <w:bottom w:w="60" w:type="dxa"/>
              <w:right w:w="80" w:type="dxa"/>
            </w:tcMar>
            <w:vAlign w:val="center"/>
          </w:tcPr>
          <w:p w14:paraId="7AF81F0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损失函数</w:t>
            </w:r>
          </w:p>
        </w:tc>
        <w:tc>
          <w:tcPr>
            <w:tcW w:w="4818" w:type="dxa"/>
            <w:tcBorders>
              <w:top w:val="nil"/>
              <w:left w:val="nil"/>
              <w:bottom w:val="nil"/>
              <w:right w:val="nil"/>
            </w:tcBorders>
            <w:shd w:val="clear" w:color="auto" w:fill="FFFFFF"/>
            <w:tcMar>
              <w:top w:w="60" w:type="dxa"/>
              <w:left w:w="80" w:type="dxa"/>
              <w:bottom w:w="60" w:type="dxa"/>
              <w:right w:w="80" w:type="dxa"/>
            </w:tcMar>
            <w:vAlign w:val="center"/>
          </w:tcPr>
          <w:p w14:paraId="6499D5F8">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平方误差回归</w:t>
            </w:r>
          </w:p>
        </w:tc>
      </w:tr>
      <w:tr w14:paraId="20AA62E6">
        <w:tblPrEx>
          <w:tblCellMar>
            <w:top w:w="0" w:type="dxa"/>
            <w:left w:w="108" w:type="dxa"/>
            <w:bottom w:w="0" w:type="dxa"/>
            <w:right w:w="108" w:type="dxa"/>
          </w:tblCellMar>
        </w:tblPrEx>
        <w:trPr>
          <w:cantSplit/>
          <w:jc w:val="center"/>
        </w:trPr>
        <w:tc>
          <w:tcPr>
            <w:tcW w:w="3968" w:type="dxa"/>
            <w:tcBorders>
              <w:top w:val="nil"/>
              <w:left w:val="nil"/>
              <w:bottom w:val="nil"/>
              <w:right w:val="nil"/>
            </w:tcBorders>
            <w:shd w:val="clear" w:color="auto" w:fill="FFFFFF"/>
            <w:tcMar>
              <w:top w:w="60" w:type="dxa"/>
              <w:left w:w="80" w:type="dxa"/>
              <w:bottom w:w="60" w:type="dxa"/>
              <w:right w:w="80" w:type="dxa"/>
            </w:tcMar>
            <w:vAlign w:val="center"/>
          </w:tcPr>
          <w:p w14:paraId="456C7F4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固定随机种子</w:t>
            </w:r>
          </w:p>
        </w:tc>
        <w:tc>
          <w:tcPr>
            <w:tcW w:w="4818" w:type="dxa"/>
            <w:tcBorders>
              <w:top w:val="nil"/>
              <w:left w:val="nil"/>
              <w:bottom w:val="nil"/>
              <w:right w:val="nil"/>
            </w:tcBorders>
            <w:shd w:val="clear" w:color="auto" w:fill="FFFFFF"/>
            <w:tcMar>
              <w:top w:w="60" w:type="dxa"/>
              <w:left w:w="80" w:type="dxa"/>
              <w:bottom w:w="60" w:type="dxa"/>
              <w:right w:w="80" w:type="dxa"/>
            </w:tcMar>
            <w:vAlign w:val="center"/>
          </w:tcPr>
          <w:p w14:paraId="7B67A8E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42</w:t>
            </w:r>
          </w:p>
        </w:tc>
      </w:tr>
      <w:tr w14:paraId="50AC5C8A">
        <w:tblPrEx>
          <w:tblCellMar>
            <w:top w:w="0" w:type="dxa"/>
            <w:left w:w="108" w:type="dxa"/>
            <w:bottom w:w="0" w:type="dxa"/>
            <w:right w:w="108" w:type="dxa"/>
          </w:tblCellMar>
        </w:tblPrEx>
        <w:trPr>
          <w:cantSplit/>
          <w:jc w:val="center"/>
        </w:trPr>
        <w:tc>
          <w:tcPr>
            <w:tcW w:w="3968" w:type="dxa"/>
            <w:tcBorders>
              <w:top w:val="nil"/>
              <w:left w:val="nil"/>
              <w:bottom w:val="nil"/>
              <w:right w:val="nil"/>
            </w:tcBorders>
            <w:shd w:val="clear" w:color="auto" w:fill="FFFFFF"/>
            <w:tcMar>
              <w:top w:w="60" w:type="dxa"/>
              <w:left w:w="80" w:type="dxa"/>
              <w:bottom w:w="60" w:type="dxa"/>
              <w:right w:w="80" w:type="dxa"/>
            </w:tcMar>
            <w:vAlign w:val="center"/>
          </w:tcPr>
          <w:p w14:paraId="0C25635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预测周期</w:t>
            </w:r>
          </w:p>
        </w:tc>
        <w:tc>
          <w:tcPr>
            <w:tcW w:w="4818" w:type="dxa"/>
            <w:tcBorders>
              <w:top w:val="nil"/>
              <w:left w:val="nil"/>
              <w:bottom w:val="nil"/>
              <w:right w:val="nil"/>
            </w:tcBorders>
            <w:shd w:val="clear" w:color="auto" w:fill="FFFFFF"/>
            <w:tcMar>
              <w:top w:w="60" w:type="dxa"/>
              <w:left w:w="80" w:type="dxa"/>
              <w:bottom w:w="60" w:type="dxa"/>
              <w:right w:w="80" w:type="dxa"/>
            </w:tcMar>
            <w:vAlign w:val="center"/>
          </w:tcPr>
          <w:p w14:paraId="0A6ACEF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未来20个交易日相对收益</w:t>
            </w:r>
          </w:p>
        </w:tc>
      </w:tr>
      <w:tr w14:paraId="2060B301">
        <w:tblPrEx>
          <w:tblCellMar>
            <w:top w:w="0" w:type="dxa"/>
            <w:left w:w="108" w:type="dxa"/>
            <w:bottom w:w="0" w:type="dxa"/>
            <w:right w:w="108" w:type="dxa"/>
          </w:tblCellMar>
        </w:tblPrEx>
        <w:trPr>
          <w:cantSplit/>
          <w:jc w:val="center"/>
        </w:trPr>
        <w:tc>
          <w:tcPr>
            <w:tcW w:w="3968" w:type="dxa"/>
            <w:tcBorders>
              <w:top w:val="nil"/>
              <w:left w:val="nil"/>
              <w:bottom w:val="nil"/>
              <w:right w:val="nil"/>
            </w:tcBorders>
            <w:shd w:val="clear" w:color="auto" w:fill="FFFFFF"/>
            <w:tcMar>
              <w:top w:w="60" w:type="dxa"/>
              <w:left w:w="80" w:type="dxa"/>
              <w:bottom w:w="60" w:type="dxa"/>
              <w:right w:w="80" w:type="dxa"/>
            </w:tcMar>
            <w:vAlign w:val="center"/>
          </w:tcPr>
          <w:p w14:paraId="523B366C">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信号频率</w:t>
            </w:r>
          </w:p>
        </w:tc>
        <w:tc>
          <w:tcPr>
            <w:tcW w:w="4818" w:type="dxa"/>
            <w:tcBorders>
              <w:top w:val="nil"/>
              <w:left w:val="nil"/>
              <w:bottom w:val="nil"/>
              <w:right w:val="nil"/>
            </w:tcBorders>
            <w:shd w:val="clear" w:color="auto" w:fill="FFFFFF"/>
            <w:tcMar>
              <w:top w:w="60" w:type="dxa"/>
              <w:left w:w="80" w:type="dxa"/>
              <w:bottom w:w="60" w:type="dxa"/>
              <w:right w:w="80" w:type="dxa"/>
            </w:tcMar>
            <w:vAlign w:val="center"/>
          </w:tcPr>
          <w:p w14:paraId="7C77764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周频；每周最后实际交易日收盘后</w:t>
            </w:r>
          </w:p>
        </w:tc>
      </w:tr>
      <w:tr w14:paraId="11D6A4DD">
        <w:tblPrEx>
          <w:tblCellMar>
            <w:top w:w="0" w:type="dxa"/>
            <w:left w:w="108" w:type="dxa"/>
            <w:bottom w:w="0" w:type="dxa"/>
            <w:right w:w="108" w:type="dxa"/>
          </w:tblCellMar>
        </w:tblPrEx>
        <w:trPr>
          <w:cantSplit/>
          <w:jc w:val="center"/>
        </w:trPr>
        <w:tc>
          <w:tcPr>
            <w:tcW w:w="3968" w:type="dxa"/>
            <w:tcBorders>
              <w:top w:val="nil"/>
              <w:left w:val="nil"/>
              <w:bottom w:val="nil"/>
              <w:right w:val="nil"/>
            </w:tcBorders>
            <w:shd w:val="clear" w:color="auto" w:fill="FFFFFF"/>
            <w:tcMar>
              <w:top w:w="60" w:type="dxa"/>
              <w:left w:w="80" w:type="dxa"/>
              <w:bottom w:w="60" w:type="dxa"/>
              <w:right w:w="80" w:type="dxa"/>
            </w:tcMar>
            <w:vAlign w:val="center"/>
          </w:tcPr>
          <w:p w14:paraId="47F5B50A">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训练方式</w:t>
            </w:r>
          </w:p>
        </w:tc>
        <w:tc>
          <w:tcPr>
            <w:tcW w:w="4818" w:type="dxa"/>
            <w:tcBorders>
              <w:top w:val="nil"/>
              <w:left w:val="nil"/>
              <w:bottom w:val="nil"/>
              <w:right w:val="nil"/>
            </w:tcBorders>
            <w:shd w:val="clear" w:color="auto" w:fill="FFFFFF"/>
            <w:tcMar>
              <w:top w:w="60" w:type="dxa"/>
              <w:left w:w="80" w:type="dxa"/>
              <w:bottom w:w="60" w:type="dxa"/>
              <w:right w:w="80" w:type="dxa"/>
            </w:tcMar>
            <w:vAlign w:val="center"/>
          </w:tcPr>
          <w:p w14:paraId="1384EADE">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扩展窗口；仅使用标签已完整实现样本</w:t>
            </w:r>
          </w:p>
        </w:tc>
      </w:tr>
      <w:tr w14:paraId="33224949">
        <w:tblPrEx>
          <w:tblCellMar>
            <w:top w:w="0" w:type="dxa"/>
            <w:left w:w="108" w:type="dxa"/>
            <w:bottom w:w="0" w:type="dxa"/>
            <w:right w:w="108" w:type="dxa"/>
          </w:tblCellMar>
        </w:tblPrEx>
        <w:trPr>
          <w:cantSplit/>
          <w:jc w:val="center"/>
        </w:trPr>
        <w:tc>
          <w:tcPr>
            <w:tcW w:w="3968" w:type="dxa"/>
            <w:tcBorders>
              <w:top w:val="nil"/>
              <w:left w:val="nil"/>
              <w:bottom w:val="nil"/>
              <w:right w:val="nil"/>
            </w:tcBorders>
            <w:shd w:val="clear" w:color="auto" w:fill="FFFFFF"/>
            <w:tcMar>
              <w:top w:w="60" w:type="dxa"/>
              <w:left w:w="80" w:type="dxa"/>
              <w:bottom w:w="60" w:type="dxa"/>
              <w:right w:w="80" w:type="dxa"/>
            </w:tcMar>
            <w:vAlign w:val="center"/>
          </w:tcPr>
          <w:p w14:paraId="2EF9B7B1">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持仓规则</w:t>
            </w:r>
          </w:p>
        </w:tc>
        <w:tc>
          <w:tcPr>
            <w:tcW w:w="4818" w:type="dxa"/>
            <w:tcBorders>
              <w:top w:val="nil"/>
              <w:left w:val="nil"/>
              <w:bottom w:val="nil"/>
              <w:right w:val="nil"/>
            </w:tcBorders>
            <w:shd w:val="clear" w:color="auto" w:fill="FFFFFF"/>
            <w:tcMar>
              <w:top w:w="60" w:type="dxa"/>
              <w:left w:w="80" w:type="dxa"/>
              <w:bottom w:w="60" w:type="dxa"/>
              <w:right w:w="80" w:type="dxa"/>
            </w:tcMar>
            <w:vAlign w:val="center"/>
          </w:tcPr>
          <w:p w14:paraId="6A58F4E6">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Top3进入、Top4保留，持有3只ETF</w:t>
            </w:r>
          </w:p>
        </w:tc>
      </w:tr>
      <w:tr w14:paraId="1075A986">
        <w:tblPrEx>
          <w:tblCellMar>
            <w:top w:w="0" w:type="dxa"/>
            <w:left w:w="108" w:type="dxa"/>
            <w:bottom w:w="0" w:type="dxa"/>
            <w:right w:w="108" w:type="dxa"/>
          </w:tblCellMar>
        </w:tblPrEx>
        <w:trPr>
          <w:cantSplit/>
          <w:jc w:val="center"/>
        </w:trPr>
        <w:tc>
          <w:tcPr>
            <w:tcW w:w="3968" w:type="dxa"/>
            <w:tcBorders>
              <w:top w:val="nil"/>
              <w:left w:val="nil"/>
              <w:bottom w:val="nil"/>
              <w:right w:val="nil"/>
            </w:tcBorders>
            <w:shd w:val="clear" w:color="auto" w:fill="FFFFFF"/>
            <w:tcMar>
              <w:top w:w="60" w:type="dxa"/>
              <w:left w:w="80" w:type="dxa"/>
              <w:bottom w:w="60" w:type="dxa"/>
              <w:right w:w="80" w:type="dxa"/>
            </w:tcMar>
            <w:vAlign w:val="center"/>
          </w:tcPr>
          <w:p w14:paraId="6D1186EF">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权重规则</w:t>
            </w:r>
          </w:p>
        </w:tc>
        <w:tc>
          <w:tcPr>
            <w:tcW w:w="4818" w:type="dxa"/>
            <w:tcBorders>
              <w:top w:val="nil"/>
              <w:left w:val="nil"/>
              <w:bottom w:val="nil"/>
              <w:right w:val="nil"/>
            </w:tcBorders>
            <w:shd w:val="clear" w:color="auto" w:fill="FFFFFF"/>
            <w:tcMar>
              <w:top w:w="60" w:type="dxa"/>
              <w:left w:w="80" w:type="dxa"/>
              <w:bottom w:w="60" w:type="dxa"/>
              <w:right w:w="80" w:type="dxa"/>
            </w:tcMar>
            <w:vAlign w:val="center"/>
          </w:tcPr>
          <w:p w14:paraId="014F7EF4">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持仓成员变化时按20日逆波动率配置</w:t>
            </w:r>
          </w:p>
        </w:tc>
      </w:tr>
      <w:tr w14:paraId="59D68AE1">
        <w:tblPrEx>
          <w:tblCellMar>
            <w:top w:w="0" w:type="dxa"/>
            <w:left w:w="108" w:type="dxa"/>
            <w:bottom w:w="0" w:type="dxa"/>
            <w:right w:w="108" w:type="dxa"/>
          </w:tblCellMar>
        </w:tblPrEx>
        <w:trPr>
          <w:cantSplit/>
          <w:jc w:val="center"/>
        </w:trPr>
        <w:tc>
          <w:tcPr>
            <w:tcW w:w="3968" w:type="dxa"/>
            <w:tcBorders>
              <w:top w:val="nil"/>
              <w:left w:val="nil"/>
              <w:bottom w:val="nil"/>
              <w:right w:val="nil"/>
            </w:tcBorders>
            <w:shd w:val="clear" w:color="auto" w:fill="FFFFFF"/>
            <w:tcMar>
              <w:top w:w="60" w:type="dxa"/>
              <w:left w:w="80" w:type="dxa"/>
              <w:bottom w:w="60" w:type="dxa"/>
              <w:right w:w="80" w:type="dxa"/>
            </w:tcMar>
            <w:vAlign w:val="center"/>
          </w:tcPr>
          <w:p w14:paraId="0C2D7D3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执行时点</w:t>
            </w:r>
          </w:p>
        </w:tc>
        <w:tc>
          <w:tcPr>
            <w:tcW w:w="4818" w:type="dxa"/>
            <w:tcBorders>
              <w:top w:val="nil"/>
              <w:left w:val="nil"/>
              <w:bottom w:val="nil"/>
              <w:right w:val="nil"/>
            </w:tcBorders>
            <w:shd w:val="clear" w:color="auto" w:fill="FFFFFF"/>
            <w:tcMar>
              <w:top w:w="60" w:type="dxa"/>
              <w:left w:w="80" w:type="dxa"/>
              <w:bottom w:w="60" w:type="dxa"/>
              <w:right w:w="80" w:type="dxa"/>
            </w:tcMar>
            <w:vAlign w:val="center"/>
          </w:tcPr>
          <w:p w14:paraId="299F6E55">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信号日下一交易日开盘</w:t>
            </w:r>
          </w:p>
        </w:tc>
      </w:tr>
      <w:tr w14:paraId="5461F5DF">
        <w:tblPrEx>
          <w:tblCellMar>
            <w:top w:w="0" w:type="dxa"/>
            <w:left w:w="108" w:type="dxa"/>
            <w:bottom w:w="0" w:type="dxa"/>
            <w:right w:w="108" w:type="dxa"/>
          </w:tblCellMar>
        </w:tblPrEx>
        <w:trPr>
          <w:cantSplit/>
          <w:jc w:val="center"/>
        </w:trPr>
        <w:tc>
          <w:tcPr>
            <w:tcW w:w="3968"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DC1BF8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交易成本</w:t>
            </w:r>
          </w:p>
        </w:tc>
        <w:tc>
          <w:tcPr>
            <w:tcW w:w="4818"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33417069">
            <w:pPr>
              <w:spacing w:before="0" w:after="0" w:line="240" w:lineRule="auto"/>
              <w:ind w:left="0" w:leftChars="0" w:firstLine="0" w:firstLineChars="0"/>
              <w:jc w:val="center"/>
              <w:rPr>
                <w:rFonts w:ascii="Times New Roman" w:hAnsi="Times New Roman" w:eastAsia="宋体"/>
                <w:b w:val="0"/>
                <w:bCs w:val="0"/>
                <w:color w:val="000000"/>
                <w:sz w:val="21"/>
              </w:rPr>
            </w:pPr>
            <w:r>
              <w:rPr>
                <w:rFonts w:ascii="Times New Roman" w:hAnsi="Times New Roman" w:eastAsia="宋体"/>
                <w:b w:val="0"/>
                <w:bCs w:val="0"/>
                <w:color w:val="000000"/>
                <w:sz w:val="21"/>
              </w:rPr>
              <w:t>单边0.05% × L1换手</w:t>
            </w:r>
          </w:p>
        </w:tc>
      </w:tr>
    </w:tbl>
    <w:p w14:paraId="2830C68C">
      <w:pPr>
        <w:spacing w:after="0"/>
        <w:rPr>
          <w:b w:val="0"/>
          <w:bCs w:val="0"/>
        </w:rPr>
      </w:pPr>
    </w:p>
    <w:p w14:paraId="6EA2E224">
      <w:pPr>
        <w:spacing w:after="0" w:line="300" w:lineRule="auto"/>
        <w:jc w:val="both"/>
        <w:rPr>
          <w:b w:val="0"/>
          <w:bCs w:val="0"/>
        </w:rPr>
      </w:pPr>
      <w:r>
        <w:rPr>
          <w:rFonts w:ascii="Times New Roman" w:hAnsi="Times New Roman" w:eastAsia="宋体"/>
          <w:b w:val="0"/>
          <w:bCs w:val="0"/>
          <w:color w:val="000000"/>
          <w:sz w:val="24"/>
        </w:rPr>
        <w:t>最终独立测试前的审计重点包括：开发期价格数据截止于2026年6月12日；最终独立测试区间为2026年6月15日至8月28日；交叉验证中的训练样本需通过标签区间重叠剔除和测试期后隔离；最终测试期起点延续开发期末真实组合状态；模型、ETF池、持仓缓冲、权重和交易成本均在测试期打开前确定。</w:t>
      </w:r>
    </w:p>
    <w:sectPr>
      <w:footerReference r:id="rId5" w:type="default"/>
      <w:pgSz w:w="11906" w:h="16838"/>
      <w:pgMar w:top="1587" w:right="1417" w:bottom="1134" w:left="1417" w:header="850"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Songti SC">
    <w:altName w:val="微软雅黑"/>
    <w:panose1 w:val="00000000000000000000"/>
    <w:charset w:val="86"/>
    <w:family w:val="auto"/>
    <w:pitch w:val="default"/>
    <w:sig w:usb0="00000000" w:usb1="00000000" w:usb2="00000010" w:usb3="00000000" w:csb0="0004009F" w:csb1="00000000"/>
  </w:font>
  <w:font w:name="Times New Roman (正文 CS 字体)">
    <w:altName w:val="宋体"/>
    <w:panose1 w:val="00000000000000000000"/>
    <w:charset w:val="86"/>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434C1">
    <w:pPr>
      <w:pStyle w:val="24"/>
      <w:jc w:val="center"/>
    </w:pPr>
    <w:r>
      <w:rPr>
        <w:rFonts w:ascii="Times New Roman" w:hAnsi="Times New Roman" w:eastAsia="宋体"/>
        <w:color w:val="000000"/>
        <w:sz w:val="20"/>
      </w:rPr>
      <w:fldChar w:fldCharType="begin"/>
    </w:r>
    <w:r>
      <w:rPr>
        <w:rFonts w:ascii="Times New Roman" w:hAnsi="Times New Roman" w:eastAsia="宋体"/>
        <w:color w:val="000000"/>
        <w:sz w:val="20"/>
      </w:rPr>
      <w:instrText xml:space="preserve"> PAGE </w:instrText>
    </w:r>
    <w:r>
      <w:rPr>
        <w:rFonts w:ascii="Times New Roman" w:hAnsi="Times New Roman" w:eastAsia="宋体"/>
        <w:color w:val="00000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FA1E45"/>
    <w:rsid w:val="35074561"/>
    <w:rsid w:val="5180327A"/>
    <w:rsid w:val="593432C8"/>
    <w:rsid w:val="5A64198B"/>
    <w:rsid w:val="5C904CB9"/>
    <w:rsid w:val="6129748A"/>
    <w:rsid w:val="637B1AF3"/>
    <w:rsid w:val="640745B9"/>
    <w:rsid w:val="7D4551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00" w:lineRule="auto"/>
      <w:ind w:firstLine="480"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keepLines/>
      <w:spacing w:before="200" w:after="200" w:line="300" w:lineRule="auto"/>
      <w:outlineLvl w:val="0"/>
    </w:pPr>
    <w:rPr>
      <w:rFonts w:asciiTheme="majorHAnsi" w:hAnsiTheme="majorHAnsi" w:eastAsiaTheme="majorEastAsia" w:cstheme="majorBidi"/>
      <w:b/>
      <w:bCs/>
      <w:sz w:val="28"/>
      <w:szCs w:val="28"/>
    </w:rPr>
  </w:style>
  <w:style w:type="paragraph" w:styleId="4">
    <w:name w:val="heading 2"/>
    <w:basedOn w:val="1"/>
    <w:next w:val="1"/>
    <w:link w:val="141"/>
    <w:unhideWhenUsed/>
    <w:qFormat/>
    <w:uiPriority w:val="9"/>
    <w:pPr>
      <w:keepNext/>
      <w:keepLines/>
      <w:spacing w:before="120" w:after="120" w:line="300" w:lineRule="auto"/>
      <w:outlineLvl w:val="1"/>
    </w:pPr>
    <w:rPr>
      <w:rFonts w:asciiTheme="majorHAnsi" w:hAnsiTheme="majorHAnsi" w:eastAsiaTheme="majorEastAsia" w:cstheme="majorBidi"/>
      <w:b/>
      <w:bCs/>
      <w:sz w:val="24"/>
      <w:szCs w:val="26"/>
    </w:rPr>
  </w:style>
  <w:style w:type="paragraph" w:styleId="5">
    <w:name w:val="heading 3"/>
    <w:basedOn w:val="1"/>
    <w:next w:val="1"/>
    <w:link w:val="142"/>
    <w:unhideWhenUsed/>
    <w:qFormat/>
    <w:uiPriority w:val="9"/>
    <w:pPr>
      <w:keepNext/>
      <w:keepLines/>
      <w:spacing w:before="120" w:after="120" w:line="300" w:lineRule="auto"/>
      <w:outlineLvl w:val="2"/>
    </w:pPr>
    <w:rPr>
      <w:rFonts w:asciiTheme="majorHAnsi" w:hAnsiTheme="majorHAnsi" w:eastAsiaTheme="majorEastAsia" w:cstheme="majorBidi"/>
      <w:bCs/>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4087</Words>
  <Characters>5779</Characters>
  <Lines>0</Lines>
  <Paragraphs>0</Paragraphs>
  <TotalTime>5</TotalTime>
  <ScaleCrop>false</ScaleCrop>
  <LinksUpToDate>false</LinksUpToDate>
  <CharactersWithSpaces>5995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ovo</cp:lastModifiedBy>
  <dcterms:modified xsi:type="dcterms:W3CDTF">2026-09-06T13:33:11Z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eyJoZGlkIjoiOGI4NjI5OTBmMDM1ODFlMDkzNDFlZTFiMWNhZWU5ZTMiLCJ1c2VySWQiOiI4MDY3MTMzMDIifQ==</vt:lpwstr>
  </property>
  <property fmtid="{D5CDD505-2E9C-101B-9397-08002B2CF9AE}" pid="3" name="KSOProductBuildVer">
    <vt:lpwstr>2052-12.1.0.28043</vt:lpwstr>
  </property>
  <property fmtid="{D5CDD505-2E9C-101B-9397-08002B2CF9AE}" pid="4" name="ICV">
    <vt:lpwstr>253C881FF9274997B4114C601D156AC2_13</vt:lpwstr>
  </property>
</Properties>
</file>