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1A594E6">
      <w:pPr>
        <w:spacing w:after="192" w:line="408"/>
        <w:rPr>
          <w:color w:val="1a5fb4"/>
        </w:rPr>
      </w:pPr>
      <w:r>
        <w:rPr>
          <w:rFonts w:hint="eastAsia" w:ascii="黑体" w:hAnsi="黑体" w:eastAsia="黑体" w:cs="黑体"/>
          <w:b w:val="1"/>
          <w:color w:val="1a5fb4"/>
          <w:spacing w:val="19"/>
          <w:sz w:val="28"/>
        </w:rPr>
        <w:t>业务需求发现 · 智能体开发方案</w:t>
      </w:r>
    </w:p>
    <w:p w14:paraId="46FCF1CF">
      <w:pPr>
        <w:spacing w:after="120" w:line="324"/>
        <w:rPr>
          <w:color w:val="1a5fb4"/>
        </w:rPr>
      </w:pPr>
      <w:r>
        <w:rPr>
          <w:rFonts w:hint="eastAsia" w:ascii="黑体" w:hAnsi="黑体" w:eastAsia="黑体" w:cs="黑体"/>
          <w:b w:val="1"/>
          <w:color w:val="1a5fb4"/>
          <w:sz w:val="52"/>
        </w:rPr>
        <w:t>岗位作业交接包智能体开发方案</w:t>
      </w:r>
    </w:p>
    <w:p w14:paraId="1525925C">
      <w:pPr>
        <w:spacing w:after="384" w:line="408"/>
        <w:rPr>
          <w:color w:val="5f6368"/>
        </w:rPr>
      </w:pPr>
      <w:r>
        <w:rPr>
          <w:rFonts w:hint="eastAsia" w:ascii="宋体" w:hAnsi="宋体" w:eastAsia="宋体" w:cs="宋体"/>
          <w:color w:val="5f6368"/>
          <w:sz w:val="28"/>
        </w:rPr>
        <w:t>基于生产岗位培训与工序交接场景六视角访谈的需求发现结论</w:t>
      </w:r>
    </w:p>
    <w:p w14:paraId="04EB7F44">
      <w:pPr>
        <w:spacing w:line="456"/>
        <w:rPr>
          <w:color w:val="5f6368"/>
        </w:rPr>
      </w:pPr>
      <w:r>
        <w:rPr>
          <w:rFonts w:hint="eastAsia" w:ascii="宋体" w:hAnsi="宋体" w:eastAsia="宋体" w:cs="宋体"/>
          <w:color w:val="5f6368"/>
          <w:sz w:val="20"/>
        </w:rPr>
        <w:t>编制依据：《上海外服（集团）有限公司 · 业务需求发现报告》（discovery-report.md，2026-10-13）</w:t>
      </w:r>
    </w:p>
    <w:p w14:paraId="0864AE70">
      <w:pPr>
        <w:spacing w:line="456"/>
        <w:rPr>
          <w:color w:val="5f6368"/>
        </w:rPr>
      </w:pPr>
      <w:r>
        <w:rPr>
          <w:rFonts w:hint="eastAsia" w:ascii="宋体" w:hAnsi="宋体" w:eastAsia="宋体" w:cs="宋体"/>
          <w:color w:val="5f6368"/>
          <w:sz w:val="20"/>
        </w:rPr>
        <w:t>场景：生产岗位培训与工序交接 ｜ 性质：合成演练，需求为待验证假设</w:t>
      </w:r>
    </w:p>
    <w:p w14:paraId="7B00F2F6">
      <w:pPr>
        <w:spacing w:line="456"/>
        <w:rPr>
          <w:color w:val="5f6368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5f6368"/>
          <w:sz w:val="20"/>
        </w:rPr>
        <w:t>日期：2026年10月13日 ｜ 版本：V1.0</w:t>
      </w:r>
    </w:p>
    <w:p w14:paraId="5664A0A7">
      <w:pPr>
        <w:spacing w:before="240" w:after="120"/>
      </w:pPr>
      <w:r>
        <w:rPr>
          <w:rFonts w:hint="eastAsia"/>
          <w:b w:val="1"/>
        </w:rPr>
        <w:t>目录</w:t>
      </w:r>
    </w:p>
    <w:p w14:paraId="57C91F6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一、背景与目标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C87EA8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"section-1-1" </w:instrText>
      </w:r>
      <w:r>
        <w:fldChar w:fldCharType="separate" w:fldLock="0" w:dirty="0"/>
      </w:r>
      <w:r>
        <w:rPr>
          <w:rFonts w:hint="eastAsia"/>
        </w:rPr>
        <w:t>1.1 业务痛点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B944F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"section-1-2" </w:instrText>
      </w:r>
      <w:r>
        <w:fldChar w:fldCharType="separate" w:fldLock="0" w:dirty="0"/>
      </w:r>
      <w:r>
        <w:rPr>
          <w:rFonts w:hint="eastAsia"/>
        </w:rPr>
        <w:t>1.2 业务链路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712F2A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"section-1-3" </w:instrText>
      </w:r>
      <w:r>
        <w:fldChar w:fldCharType="separate" w:fldLock="0" w:dirty="0"/>
      </w:r>
      <w:r>
        <w:rPr>
          <w:rFonts w:hint="eastAsia"/>
        </w:rPr>
        <w:t>1.3 项目目标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6CB09F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二、需求分析：智能体必须回答的三个 P0 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5CA1C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三、智能体方案设计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77580B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定位：辅助核对，不自动决策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9F760E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四个核心功能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7F61B7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技术架构（四层）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180C87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"section-3-4" </w:instrText>
      </w:r>
      <w:r>
        <w:fldChar w:fldCharType="separate" w:fldLock="0" w:dirty="0"/>
      </w:r>
      <w:r>
        <w:rPr>
          <w:rFonts w:hint="eastAsia"/>
        </w:rPr>
        <w:t>3.4 字段设计（最小可回溯字段集，草案）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156A9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四、实施路径（四阶段）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DFBC0A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五、验收标准（试点批次）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FF5A34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六、风险与应对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E17BE6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七、组织分工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4253CF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八、待验证假设清单（开发前必须关闭）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B926E3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九、结语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55EB0691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F12268A">
      <w:pPr>
        <w:pStyle w:val="000005"/>
        <w:keepNext w:val="1"/>
        <w:keepLines w:val="1"/>
        <w:pBdr>
          <w:left w:val="single" w:color="1a5fb4" w:sz="24"/>
        </w:pBdr>
        <w:shd w:val="clear" w:fill="eef3fa"/>
        <w:spacing w:before="384" w:beforeAutospacing="1" w:after="192" w:afterAutospacing="1" w:line="336"/>
        <w:ind w:left="384" w:right="384"/>
        <w:outlineLvl w:val="1"/>
        <w:rPr>
          <w:color w:val="1a5fb4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1a5fb4"/>
          <w:sz w:val="44"/>
        </w:rPr>
        <w:t>一句话结论</w:t>
      </w:r>
    </w:p>
    <w:p w14:paraId="5B48F9B8">
      <w:pPr>
        <w:pBdr>
          <w:left w:val="single" w:color="1a5fb4" w:sz="24"/>
        </w:pBdr>
        <w:shd w:val="clear" w:fill="eef3fa"/>
        <w:spacing w:before="384" w:after="192" w:line="408"/>
        <w:ind w:left="384" w:right="384"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先做一款"只读、辅助、可审计"的交接核对智能体——它不替人做决定，只做三件事：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核对版本、结构化交接单、把异常摆到人面前</w:t>
      </w:r>
      <w:r>
        <w:rPr>
          <w:rFonts w:hint="eastAsia" w:ascii="宋体" w:hAnsi="宋体" w:eastAsia="宋体" w:cs="宋体"/>
          <w:color w:val="000000"/>
          <w:sz w:val="24"/>
        </w:rPr>
        <w:t>；等一个批次试点跑通验收标准，再谈加深自动化。</w:t>
      </w:r>
    </w:p>
    <w:p w14:paraId="4A922687">
      <w:pPr>
        <w:pStyle w:val="000005"/>
        <w:keepNext w:val="1"/>
        <w:keepLines w:val="1"/>
        <w:spacing w:before="384" w:beforeAutospacing="1" w:after="192" w:afterAutospacing="1" w:line="336"/>
        <w:outlineLvl w:val="1"/>
        <w:rPr>
          <w:color w:val="1a5fb4"/>
          <w:sz w:val="32"/>
          <w:szCs w:val="32"/>
        </w:rPr>
      </w:pPr>
      <w:bookmarkStart w:id="1" w:name="section-1"/>
      <w:r>
        <w:rPr>
          <w:rFonts w:hint="eastAsia" w:ascii="黑体" w:hAnsi="黑体" w:eastAsia="黑体" w:cs="黑体"/>
          <w:b w:val="1"/>
          <w:color w:val="1a5fb4"/>
          <w:sz w:val="44"/>
        </w:rPr>
        <w:t>一、背景与目标</w:t>
      </w:r>
      <w:bookmarkEnd w:id="1"/>
    </w:p>
    <w:p w14:paraId="5AAC6F32">
      <w:pPr>
        <w:pStyle w:val="000006"/>
        <w:keepNext w:val="1"/>
        <w:keepLines w:val="1"/>
        <w:spacing w:before="240" w:beforeAutospacing="1" w:after="192" w:afterAutospacing="1" w:line="408"/>
        <w:outlineLvl w:val="2"/>
        <w:rPr>
          <w:color w:val="000000"/>
          <w:sz w:val="32"/>
          <w:szCs w:val="32"/>
        </w:rPr>
      </w:pPr>
      <w:bookmarkStart w:id="2" w:name="section-1-1"/>
      <w:r>
        <w:rPr>
          <w:rFonts w:hint="eastAsia" w:ascii="黑体" w:hAnsi="黑体" w:eastAsia="黑体" w:cs="黑体"/>
          <w:b w:val="1"/>
          <w:color w:val="000000"/>
          <w:sz w:val="32"/>
        </w:rPr>
        <w:t>1.1 业务痛点</w:t>
      </w:r>
      <w:bookmarkEnd w:id="2"/>
    </w:p>
    <w:p w14:paraId="423B0FAE">
      <w:pPr>
        <w:spacing w:after="192" w:line="408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本方案基于《上海外服（集团）业务需求发现报告》（discovery-report.md，2026-10-13，合成演练场景：生产岗位培训与工序交接）编写。访谈覆盖业务、现场、交接、技术、质量、客户六个视角，采集 20 条事实（覆盖率 20/36），现场已暴露的核心痛点有两个：</w:t>
      </w:r>
    </w:p>
    <w:p w14:paraId="02CBAAF7">
      <w:pPr>
        <w:numPr>
          <w:ilvl w:val="0"/>
          <w:numId w:val="1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培训版本与工序指引不一致，交接单只写"已完成"</w:t>
      </w:r>
      <w:r>
        <w:rPr>
          <w:rFonts w:hint="eastAsia" w:ascii="宋体" w:hAnsi="宋体" w:eastAsia="宋体" w:cs="宋体"/>
          <w:color w:val="000000"/>
          <w:sz w:val="24"/>
        </w:rPr>
        <w:t>。现场出了问题不知道按哪版执行、责任算谁的（证据 fsg-production-handover-f10，下文简写 f10）。</w:t>
      </w:r>
    </w:p>
    <w:p w14:paraId="5B489F43">
      <w:pPr>
        <w:numPr>
          <w:ilvl w:val="0"/>
          <w:numId w:val="1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版本切换节点最容易出异常</w:t>
      </w:r>
      <w:r>
        <w:rPr>
          <w:rFonts w:hint="eastAsia" w:ascii="宋体" w:hAnsi="宋体" w:eastAsia="宋体" w:cs="宋体"/>
          <w:color w:val="000000"/>
          <w:sz w:val="24"/>
        </w:rPr>
        <w:t>。工序检查项新增后，夜班仍使用旧清单并漏记一项复核，必须查原始版本才能判断责任（f11）。</w:t>
      </w:r>
    </w:p>
    <w:p w14:paraId="20643A38">
      <w:pPr>
        <w:spacing w:after="192" w:line="408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另外一个容易被忽视的现场习惯：同事先用群消息把问题解决掉，再补填表格，所以</w:t>
      </w:r>
      <w:r>
        <w:rPr>
          <w:rFonts w:hint="eastAsia" w:ascii="宋体" w:hAnsi="宋体" w:eastAsia="宋体" w:cs="宋体"/>
          <w:b w:val="1"/>
          <w:color w:val="000000"/>
          <w:sz w:val="24"/>
        </w:rPr>
        <w:t>表格里的回填时间不能当作发生时间</w:t>
      </w:r>
      <w:r>
        <w:rPr>
          <w:rFonts w:hint="eastAsia" w:ascii="宋体" w:hAnsi="宋体" w:eastAsia="宋体" w:cs="宋体"/>
          <w:color w:val="000000"/>
          <w:sz w:val="24"/>
        </w:rPr>
        <w:t>（f13）。这意味着任何只看表格时间戳的自动化都会把先后顺序搞反。</w:t>
      </w:r>
    </w:p>
    <w:p w14:paraId="3049D1AE">
      <w:pPr>
        <w:pStyle w:val="000006"/>
        <w:keepNext w:val="1"/>
        <w:keepLines w:val="1"/>
        <w:spacing w:before="240" w:beforeAutospacing="1" w:after="192" w:afterAutospacing="1" w:line="408"/>
        <w:outlineLvl w:val="2"/>
        <w:rPr>
          <w:color w:val="000000"/>
          <w:sz w:val="32"/>
          <w:szCs w:val="32"/>
        </w:rPr>
      </w:pPr>
      <w:bookmarkStart w:id="3" w:name="section-1-2"/>
      <w:r>
        <w:rPr>
          <w:rFonts w:hint="eastAsia" w:ascii="黑体" w:hAnsi="黑体" w:eastAsia="黑体" w:cs="黑体"/>
          <w:b w:val="1"/>
          <w:color w:val="000000"/>
          <w:sz w:val="32"/>
        </w:rPr>
        <w:t>1.2 业务链路</w:t>
      </w:r>
      <w:bookmarkEnd w:id="3"/>
    </w:p>
    <w:p w14:paraId="71F5219C">
      <w:pPr>
        <w:spacing w:after="192" w:line="408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访谈确认的实际业务链路为：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任务确认 → 培训记录 → 工序交接 → 异常回报 → 质量复核</w:t>
      </w:r>
      <w:r>
        <w:rPr>
          <w:rFonts w:hint="eastAsia" w:ascii="宋体" w:hAnsi="宋体" w:eastAsia="宋体" w:cs="宋体"/>
          <w:color w:val="000000"/>
          <w:sz w:val="24"/>
        </w:rPr>
        <w:t>（f01、f20）。业务负责人顾明岚明确要求：先观察每个交接点，而不是一上来就加自动化（f01）；目标是减少重复核对，但</w:t>
      </w:r>
      <w:r>
        <w:rPr>
          <w:rFonts w:hint="eastAsia" w:ascii="宋体" w:hAnsi="宋体" w:eastAsia="宋体" w:cs="宋体"/>
          <w:b w:val="1"/>
          <w:color w:val="000000"/>
          <w:sz w:val="24"/>
        </w:rPr>
        <w:t>人工确认和可追溯来源不能省</w:t>
      </w:r>
      <w:r>
        <w:rPr>
          <w:rFonts w:hint="eastAsia" w:ascii="宋体" w:hAnsi="宋体" w:eastAsia="宋体" w:cs="宋体"/>
          <w:color w:val="000000"/>
          <w:sz w:val="24"/>
        </w:rPr>
        <w:t>（f00）。</w:t>
      </w:r>
    </w:p>
    <w:p w14:paraId="0180996E">
      <w:pPr>
        <w:pStyle w:val="000006"/>
        <w:keepNext w:val="1"/>
        <w:keepLines w:val="1"/>
        <w:spacing w:before="240" w:beforeAutospacing="1" w:after="192" w:afterAutospacing="1" w:line="408"/>
        <w:outlineLvl w:val="2"/>
        <w:rPr>
          <w:color w:val="000000"/>
          <w:sz w:val="32"/>
          <w:szCs w:val="32"/>
        </w:rPr>
      </w:pPr>
      <w:bookmarkStart w:id="4" w:name="section-1-3"/>
      <w:r>
        <w:rPr>
          <w:rFonts w:hint="eastAsia" w:ascii="黑体" w:hAnsi="黑体" w:eastAsia="黑体" w:cs="黑体"/>
          <w:b w:val="1"/>
          <w:color w:val="000000"/>
          <w:sz w:val="32"/>
        </w:rPr>
        <w:t>1.3 项目目标</w:t>
      </w:r>
      <w:bookmarkEnd w:id="4"/>
    </w:p>
    <w:p w14:paraId="31D6C7CD">
      <w:pPr>
        <w:spacing w:after="192" w:line="408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开发一款"岗位作业交接包智能体"，在试点批次内实现：</w:t>
      </w:r>
    </w:p>
    <w:p w14:paraId="6B816266">
      <w:pPr>
        <w:numPr>
          <w:ilvl w:val="0"/>
          <w:numId w:val="2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交接核对时间明显下降（减少重复核对，f00），具体基线数字</w:t>
      </w:r>
      <w:r>
        <w:rPr>
          <w:rFonts w:hint="eastAsia" w:ascii="宋体" w:hAnsi="宋体" w:eastAsia="宋体" w:cs="宋体"/>
          <w:b w:val="1"/>
          <w:color w:val="000000"/>
          <w:sz w:val="24"/>
        </w:rPr>
        <w:t>待核</w:t>
      </w:r>
      <w:r>
        <w:rPr>
          <w:rFonts w:hint="eastAsia" w:ascii="宋体" w:hAnsi="宋体" w:eastAsia="宋体" w:cs="宋体"/>
          <w:color w:val="000000"/>
          <w:sz w:val="24"/>
        </w:rPr>
        <w:t>——访谈中尚未取得"有多少单、花多久"的统计样本；</w:t>
      </w:r>
    </w:p>
    <w:p w14:paraId="2A398429">
      <w:pPr>
        <w:numPr>
          <w:ilvl w:val="0"/>
          <w:numId w:val="2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每一次交接可回溯到：版本号、未确认事项、截止时间、来源记录、复核记录；</w:t>
      </w:r>
    </w:p>
    <w:p w14:paraId="6A12A610">
      <w:pPr>
        <w:numPr>
          <w:ilvl w:val="0"/>
          <w:numId w:val="2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未复核异常 100% 保留责任人与状态，不出现"只写已完成"的交接单。</w:t>
      </w:r>
    </w:p>
    <w:p w14:paraId="723AC4F3">
      <w:pPr>
        <w:pBdr>
          <w:left w:val="single" w:color="d48806" w:sz="24"/>
        </w:pBdr>
        <w:shd w:val="clear" w:fill="fdf6ec"/>
        <w:spacing w:before="240" w:after="192" w:line="408"/>
        <w:ind w:left="240" w:right="240" w:firstLine="48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非目标（红线，访谈明确约束）</w:t>
      </w:r>
      <w:r>
        <w:rPr>
          <w:rFonts w:hint="eastAsia" w:ascii="宋体" w:hAnsi="宋体" w:eastAsia="宋体" w:cs="宋体"/>
          <w:color w:val="000000"/>
          <w:sz w:val="24"/>
        </w:rPr>
        <w:t>：不控制真实设备、不代替安全培训、不批准生产放行（f05）；不开放写回、外部消息和执行接口（f32）；练习结果不作为实际业务指令（f40）。</w:t>
      </w:r>
    </w:p>
    <w:p w14:paraId="49FE507E">
      <w:pPr>
        <w:pStyle w:val="000005"/>
        <w:keepNext w:val="1"/>
        <w:keepLines w:val="1"/>
        <w:spacing w:before="384" w:beforeAutospacing="1" w:after="192" w:afterAutospacing="1" w:line="336"/>
        <w:outlineLvl w:val="1"/>
        <w:rPr>
          <w:color w:val="1a5fb4"/>
          <w:sz w:val="32"/>
          <w:szCs w:val="32"/>
        </w:rPr>
      </w:pPr>
      <w:bookmarkStart w:id="5" w:name="section-2"/>
      <w:r>
        <w:rPr>
          <w:rFonts w:hint="eastAsia" w:ascii="黑体" w:hAnsi="黑体" w:eastAsia="黑体" w:cs="黑体"/>
          <w:b w:val="1"/>
          <w:color w:val="1a5fb4"/>
          <w:sz w:val="44"/>
        </w:rPr>
        <w:t>二、需求分析：智能体必须回答的三个 P0 问题</w:t>
      </w:r>
      <w:bookmarkEnd w:id="5"/>
    </w:p>
    <w:p w14:paraId="6A93B987">
      <w:pPr>
        <w:spacing w:after="192" w:line="408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访谈收敛出三个 P0 级待验证假设。</w:t>
      </w:r>
      <w:r>
        <w:rPr>
          <w:rFonts w:hint="eastAsia" w:ascii="宋体" w:hAnsi="宋体" w:eastAsia="宋体" w:cs="宋体"/>
          <w:b w:val="1"/>
          <w:color w:val="000000"/>
          <w:sz w:val="24"/>
        </w:rPr>
        <w:t>这三个问题不落实，智能体不能进入开发</w:t>
      </w:r>
      <w:r>
        <w:rPr>
          <w:rFonts w:hint="eastAsia" w:ascii="宋体" w:hAnsi="宋体" w:eastAsia="宋体" w:cs="宋体"/>
          <w:color w:val="000000"/>
          <w:sz w:val="24"/>
        </w:rPr>
        <w:t>——否则做出来的东西责任悬空：</w:t>
      </w:r>
    </w:p>
    <w:tbl>
      <w:tblPr>
        <w:tblW w:w="8306" w:type="dxa"/>
        <w:shd w:color="000000"/>
        <w:tblLayout w:type="autofit"/>
        <w:tblCellMar/>
      </w:tblPr>
      <w:tblGrid>
        <w:gridCol w:w="498"/>
        <w:gridCol w:w="2325"/>
        <w:gridCol w:w="2990"/>
        <w:gridCol w:w="2491"/>
      </w:tblGrid>
      <w:tr>
        <w:trPr>
          <w:tblHeader w:val="1"/>
        </w:trPr>
        <w:tc>
          <w:tcPr>
            <w:tcW w:w="49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BA559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序号</w:t>
            </w:r>
          </w:p>
        </w:tc>
        <w:tc>
          <w:tcPr>
            <w:tcW w:w="232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9CA2D2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P0 问题</w:t>
            </w:r>
          </w:p>
        </w:tc>
        <w:tc>
          <w:tcPr>
            <w:tcW w:w="299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1D1A2F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现状证据</w:t>
            </w:r>
          </w:p>
        </w:tc>
        <w:tc>
          <w:tcPr>
            <w:tcW w:w="249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6C60E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落实动作</w:t>
            </w:r>
          </w:p>
        </w:tc>
      </w:tr>
      <w:tr>
        <w:trPr/>
        <w:tc>
          <w:tcPr>
            <w:tcW w:w="49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A48B33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</w:t>
            </w:r>
          </w:p>
        </w:tc>
        <w:tc>
          <w:tcPr>
            <w:tcW w:w="232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76684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现行有效版本由谁维护、响应时限多久</w:t>
            </w:r>
          </w:p>
        </w:tc>
        <w:tc>
          <w:tcPr>
            <w:tcW w:w="299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17065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判定规则已有（按"版本有效期+确认状态"两个条件，作废保留原因，不靠文件名猜最新版本，f24），但"谁"维护尚未核实（f23、f10）</w:t>
            </w:r>
          </w:p>
        </w:tc>
        <w:tc>
          <w:tcPr>
            <w:tcW w:w="249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BD0CB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由顾明岚牵头、唐映秋与傅景参与，试点前书面确认维护责任人与响应时限</w:t>
            </w:r>
          </w:p>
        </w:tc>
      </w:tr>
      <w:tr>
        <w:trPr/>
        <w:tc>
          <w:tcPr>
            <w:tcW w:w="49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9292F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</w:t>
            </w:r>
          </w:p>
        </w:tc>
        <w:tc>
          <w:tcPr>
            <w:tcW w:w="232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AC2B1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交接单"已完成"背后最小可回溯字段集是什么</w:t>
            </w:r>
          </w:p>
        </w:tc>
        <w:tc>
          <w:tcPr>
            <w:tcW w:w="299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6DEFA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执行条件要求交接必须列明最新版本、尚未确认事项和截止时间（f23），但是否还挂培训记录、工序指引或异常单未定</w:t>
            </w:r>
          </w:p>
        </w:tc>
        <w:tc>
          <w:tcPr>
            <w:tcW w:w="249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7A280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唐映秋与林亦舟确认最小字段集，纳入试点验收</w:t>
            </w:r>
          </w:p>
        </w:tc>
      </w:tr>
      <w:tr>
        <w:trPr/>
        <w:tc>
          <w:tcPr>
            <w:tcW w:w="49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65B561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3</w:t>
            </w:r>
          </w:p>
        </w:tc>
        <w:tc>
          <w:tcPr>
            <w:tcW w:w="2325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59D125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人工复核的层级与闭环判定标准</w:t>
            </w:r>
          </w:p>
        </w:tc>
        <w:tc>
          <w:tcPr>
            <w:tcW w:w="299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A73817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正式结论须授权人员确认（f41）；闭环口径可对照"有责任人、有状态、有来源、有复核记录"（f42）；但初核+终核还是一次性确认未定</w:t>
            </w:r>
          </w:p>
        </w:tc>
        <w:tc>
          <w:tcPr>
            <w:tcW w:w="249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E6EFC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顾明岚先给业务授权口径，傅景对照定义复核层级与闭环判定</w:t>
            </w:r>
          </w:p>
        </w:tc>
      </w:tr>
    </w:tbl>
    <w:p w14:paraId="29A45EE9">
      <w:pPr>
        <w:spacing w:after="192" w:line="408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另有三项 P1 前置条件：人工补录字段需挂版本与未结项、不得覆盖已确认接收人记录（f25、f20）；异常识别以原始记录与发生时间为准（f13、f33）；试点范围先定候选岗位与工序清单、再定字段与接口（f04、f31）。</w:t>
      </w:r>
    </w:p>
    <w:p w14:paraId="5B816E08">
      <w:pPr>
        <w:pStyle w:val="000005"/>
        <w:keepNext w:val="1"/>
        <w:keepLines w:val="1"/>
        <w:spacing w:before="384" w:beforeAutospacing="1" w:after="192" w:afterAutospacing="1" w:line="336"/>
        <w:outlineLvl w:val="1"/>
        <w:rPr>
          <w:color w:val="1a5fb4"/>
          <w:sz w:val="32"/>
          <w:szCs w:val="32"/>
        </w:rPr>
      </w:pPr>
      <w:bookmarkStart w:id="6" w:name="section-3"/>
      <w:r>
        <w:rPr>
          <w:rFonts w:hint="eastAsia" w:ascii="黑体" w:hAnsi="黑体" w:eastAsia="黑体" w:cs="黑体"/>
          <w:b w:val="1"/>
          <w:color w:val="1a5fb4"/>
          <w:sz w:val="44"/>
        </w:rPr>
        <w:t>三、智能体方案设计</w:t>
      </w:r>
      <w:bookmarkEnd w:id="6"/>
    </w:p>
    <w:p w14:paraId="7BA3BF33">
      <w:pPr>
        <w:pStyle w:val="000006"/>
        <w:keepNext w:val="1"/>
        <w:keepLines w:val="1"/>
        <w:spacing w:before="240" w:beforeAutospacing="1" w:after="192" w:afterAutospacing="1" w:line="408"/>
        <w:outlineLvl w:val="2"/>
        <w:rPr>
          <w:color w:val="000000"/>
          <w:sz w:val="32"/>
          <w:szCs w:val="32"/>
        </w:rPr>
      </w:pPr>
      <w:bookmarkStart w:id="7" w:name="section-3-1"/>
      <w:r>
        <w:rPr>
          <w:rFonts w:hint="eastAsia" w:ascii="黑体" w:hAnsi="黑体" w:eastAsia="黑体" w:cs="黑体"/>
          <w:b w:val="1"/>
          <w:color w:val="000000"/>
          <w:sz w:val="32"/>
        </w:rPr>
        <w:t>3.1 定位：辅助核对，不自动决策</w:t>
      </w:r>
      <w:bookmarkEnd w:id="7"/>
    </w:p>
    <w:p w14:paraId="66C87999">
      <w:pPr>
        <w:spacing w:after="192" w:line="408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按访谈口径，本智能体是</w:t>
      </w:r>
      <w:r>
        <w:rPr>
          <w:rFonts w:hint="eastAsia" w:ascii="宋体" w:hAnsi="宋体" w:eastAsia="宋体" w:cs="宋体"/>
          <w:b w:val="1"/>
          <w:color w:val="000000"/>
          <w:sz w:val="24"/>
        </w:rPr>
        <w:t>挂在"工序交接 → 异常回报 → 质量复核"三个节点上的辅助核对工具</w:t>
      </w:r>
      <w:r>
        <w:rPr>
          <w:rFonts w:hint="eastAsia" w:ascii="宋体" w:hAnsi="宋体" w:eastAsia="宋体" w:cs="宋体"/>
          <w:color w:val="000000"/>
          <w:sz w:val="24"/>
        </w:rPr>
        <w:t>，不是自动审批流。设计原则一句话：</w:t>
      </w:r>
      <w:r>
        <w:rPr>
          <w:rFonts w:hint="eastAsia" w:ascii="宋体" w:hAnsi="宋体" w:eastAsia="宋体" w:cs="宋体"/>
          <w:b w:val="1"/>
          <w:color w:val="000000"/>
          <w:sz w:val="24"/>
        </w:rPr>
        <w:t>机器对、机器查、机器留痕；人确认、人签字、人担责。</w:t>
      </w:r>
    </w:p>
    <w:p w14:paraId="2A7D783A">
      <w:pPr>
        <w:pStyle w:val="000006"/>
        <w:keepNext w:val="1"/>
        <w:keepLines w:val="1"/>
        <w:spacing w:before="240" w:beforeAutospacing="1" w:after="192" w:afterAutospacing="1" w:line="408"/>
        <w:outlineLvl w:val="2"/>
        <w:rPr>
          <w:color w:val="000000"/>
          <w:sz w:val="32"/>
          <w:szCs w:val="32"/>
        </w:rPr>
      </w:pPr>
      <w:bookmarkStart w:id="8" w:name="section-3-2"/>
      <w:r>
        <w:rPr>
          <w:rFonts w:hint="eastAsia" w:ascii="黑体" w:hAnsi="黑体" w:eastAsia="黑体" w:cs="黑体"/>
          <w:b w:val="1"/>
          <w:color w:val="000000"/>
          <w:sz w:val="32"/>
        </w:rPr>
        <w:t>3.2 四个核心功能</w:t>
      </w:r>
      <w:bookmarkEnd w:id="8"/>
    </w:p>
    <w:tbl>
      <w:tblPr>
        <w:tblW w:w="8306" w:type="dxa"/>
        <w:shd w:color="000000"/>
        <w:tblLayout w:type="autofit"/>
        <w:tblCellMar/>
      </w:tblPr>
      <w:tblGrid>
        <w:gridCol w:w="1661"/>
        <w:gridCol w:w="4983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919EF0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功能</w:t>
            </w:r>
          </w:p>
        </w:tc>
        <w:tc>
          <w:tcPr>
            <w:tcW w:w="49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A81204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做什么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A4B64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依据</w:t>
            </w:r>
          </w:p>
        </w:tc>
      </w:tr>
      <w:tr>
        <w:trPr/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F7A83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F1 版本核对助手</w:t>
            </w:r>
          </w:p>
        </w:tc>
        <w:tc>
          <w:tcPr>
            <w:tcW w:w="49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8F78B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输入任一版本的培训记录/工序指引，按"有效期+确认状态"判定是否现行有效，作废版本展示保留原因；发现现场使用版本与现行版本不一致时，生成提示（不拦截、不下结论）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97A12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f24、f11</w:t>
            </w:r>
          </w:p>
        </w:tc>
      </w:tr>
      <w:tr>
        <w:trPr/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F1A01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F2 交接单结构化检查</w:t>
            </w:r>
          </w:p>
        </w:tc>
        <w:tc>
          <w:tcPr>
            <w:tcW w:w="49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5F8C9F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自动检查每张交接单是否列明：最新版本号、尚未确认事项、截止时间；缺任何一项标记"不可回溯"并进入待补录清单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FF807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f23、f20</w:t>
            </w:r>
          </w:p>
        </w:tc>
      </w:tr>
      <w:tr>
        <w:trPr/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583AB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F3 异常识别辅助</w:t>
            </w:r>
          </w:p>
        </w:tc>
        <w:tc>
          <w:tcPr>
            <w:tcW w:w="49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5B55CC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以原始记录和发生时间为准识别异常（回填时间单独标注、不作为发生时间）；重点监控"版本变更后首个夜班"这一高危观察窗口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D5C67A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f13、f11、f31</w:t>
            </w:r>
          </w:p>
        </w:tc>
      </w:tr>
      <w:tr>
        <w:trPr/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3EB46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F4 复核清单生成</w:t>
            </w:r>
          </w:p>
        </w:tc>
        <w:tc>
          <w:tcPr>
            <w:tcW w:w="498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449DB3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把异常整理成待复核清单：每条含责任人、状态、来源记录、建议动作；</w:t>
            </w:r>
            <w:r>
              <w:rPr>
                <w:rFonts w:hint="eastAsia" w:ascii="宋体" w:hAnsi="宋体" w:eastAsia="宋体" w:cs="宋体"/>
                <w:b w:val="1"/>
                <w:color w:val="000000"/>
                <w:sz w:val="20"/>
              </w:rPr>
              <w:t>提交授权人员人工确认，智能体不给出正式结论</w:t>
            </w:r>
          </w:p>
        </w:tc>
        <w:tc>
          <w:tcPr>
            <w:tcW w:w="166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B870B7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f41、f42、f45</w:t>
            </w:r>
          </w:p>
        </w:tc>
      </w:tr>
    </w:tbl>
    <w:p w14:paraId="68174D7A">
      <w:pPr>
        <w:pStyle w:val="000006"/>
        <w:keepNext w:val="1"/>
        <w:keepLines w:val="1"/>
        <w:spacing w:before="240" w:beforeAutospacing="1" w:after="192" w:afterAutospacing="1" w:line="408"/>
        <w:outlineLvl w:val="2"/>
        <w:rPr>
          <w:color w:val="000000"/>
          <w:sz w:val="32"/>
          <w:szCs w:val="32"/>
        </w:rPr>
      </w:pPr>
      <w:bookmarkStart w:id="9" w:name="section-3-3"/>
      <w:r>
        <w:rPr>
          <w:rFonts w:hint="eastAsia" w:ascii="黑体" w:hAnsi="黑体" w:eastAsia="黑体" w:cs="黑体"/>
          <w:b w:val="1"/>
          <w:color w:val="000000"/>
          <w:sz w:val="32"/>
        </w:rPr>
        <w:t>3.3 技术架构（四层）</w:t>
      </w:r>
      <w:bookmarkEnd w:id="9"/>
    </w:p>
    <w:p w14:paraId="2AB2FD53">
      <w:pPr>
        <w:numPr>
          <w:ilvl w:val="0"/>
          <w:numId w:val="3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数据接入层（只读）</w:t>
      </w:r>
      <w:r>
        <w:rPr>
          <w:rFonts w:hint="eastAsia" w:ascii="宋体" w:hAnsi="宋体" w:eastAsia="宋体" w:cs="宋体"/>
          <w:color w:val="000000"/>
          <w:sz w:val="24"/>
        </w:rPr>
        <w:t>：仅对接系统侧开放的岗位作业交接包</w:t>
      </w:r>
      <w:r>
        <w:rPr>
          <w:rFonts w:hint="eastAsia" w:ascii="宋体" w:hAnsi="宋体" w:eastAsia="宋体" w:cs="宋体"/>
          <w:b w:val="1"/>
          <w:color w:val="000000"/>
          <w:sz w:val="24"/>
        </w:rPr>
        <w:t>脱敏只读导出</w:t>
      </w:r>
      <w:r>
        <w:rPr>
          <w:rFonts w:hint="eastAsia" w:ascii="宋体" w:hAnsi="宋体" w:eastAsia="宋体" w:cs="宋体"/>
          <w:color w:val="000000"/>
          <w:sz w:val="24"/>
        </w:rPr>
        <w:t>（f32）。对齐关键字段：岗位代号、工序、指引版本、培训确认、异常、复核人；缺失值与未确认值严格区分（f31）。数据质量检查前置：核对重复编号、空时间、版本断链与单位差异，问题记录保留原行（f33）。</w:t>
      </w:r>
    </w:p>
    <w:p w14:paraId="58030D72">
      <w:pPr>
        <w:numPr>
          <w:ilvl w:val="0"/>
          <w:numId w:val="3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规则引擎层</w:t>
      </w:r>
      <w:r>
        <w:rPr>
          <w:rFonts w:hint="eastAsia" w:ascii="宋体" w:hAnsi="宋体" w:eastAsia="宋体" w:cs="宋体"/>
          <w:color w:val="000000"/>
          <w:sz w:val="24"/>
        </w:rPr>
        <w:t>：F1–F3 的核对逻辑全部用显式规则实现（版本判定、字段完整性、时间口径），规则可配置、可解释——每条提示都能回答"我是根据哪条规则、哪条记录判的"。</w:t>
      </w:r>
    </w:p>
    <w:p w14:paraId="1DAAAFD2">
      <w:pPr>
        <w:numPr>
          <w:ilvl w:val="0"/>
          <w:numId w:val="3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模型辅助层（LLM，克制使用）</w:t>
      </w:r>
      <w:r>
        <w:rPr>
          <w:rFonts w:hint="eastAsia" w:ascii="宋体" w:hAnsi="宋体" w:eastAsia="宋体" w:cs="宋体"/>
          <w:color w:val="000000"/>
          <w:sz w:val="24"/>
        </w:rPr>
        <w:t>：只用于两处——交接单文字描述与结构化字段的一致性比对、异常描述的归纳摘要。</w:t>
      </w:r>
      <w:r>
        <w:rPr>
          <w:rFonts w:hint="eastAsia" w:ascii="宋体" w:hAnsi="宋体" w:eastAsia="宋体" w:cs="宋体"/>
          <w:b w:val="1"/>
          <w:color w:val="000000"/>
          <w:sz w:val="24"/>
        </w:rPr>
        <w:t>不用于</w:t>
      </w:r>
      <w:r>
        <w:rPr>
          <w:rFonts w:hint="eastAsia" w:ascii="宋体" w:hAnsi="宋体" w:eastAsia="宋体" w:cs="宋体"/>
          <w:color w:val="000000"/>
          <w:sz w:val="24"/>
        </w:rPr>
        <w:t>：推测客户意图（f54 明确禁止）、认定责任、生成正式结论。</w:t>
      </w:r>
    </w:p>
    <w:p w14:paraId="0573D06E">
      <w:pPr>
        <w:numPr>
          <w:ilvl w:val="0"/>
          <w:numId w:val="3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复核工作台与审计层</w:t>
      </w:r>
      <w:r>
        <w:rPr>
          <w:rFonts w:hint="eastAsia" w:ascii="宋体" w:hAnsi="宋体" w:eastAsia="宋体" w:cs="宋体"/>
          <w:color w:val="000000"/>
          <w:sz w:val="24"/>
        </w:rPr>
        <w:t>：人在这里确认。审计要求按傅景的硬口径：记录谁查过交接包、用的哪个版本、提了什么建议、谁确认的，</w:t>
      </w:r>
      <w:r>
        <w:rPr>
          <w:rFonts w:hint="eastAsia" w:ascii="宋体" w:hAnsi="宋体" w:eastAsia="宋体" w:cs="宋体"/>
          <w:b w:val="1"/>
          <w:color w:val="000000"/>
          <w:sz w:val="24"/>
        </w:rPr>
        <w:t>访问记录不能只留最终摘要</w:t>
      </w:r>
      <w:r>
        <w:rPr>
          <w:rFonts w:hint="eastAsia" w:ascii="宋体" w:hAnsi="宋体" w:eastAsia="宋体" w:cs="宋体"/>
          <w:color w:val="000000"/>
          <w:sz w:val="24"/>
        </w:rPr>
        <w:t>（f45）。</w:t>
      </w:r>
    </w:p>
    <w:p w14:paraId="2EADF5B8">
      <w:pPr>
        <w:pStyle w:val="000006"/>
        <w:keepNext w:val="1"/>
        <w:keepLines w:val="1"/>
        <w:spacing w:before="240" w:beforeAutospacing="1" w:after="192" w:afterAutospacing="1" w:line="408"/>
        <w:outlineLvl w:val="2"/>
        <w:rPr>
          <w:color w:val="000000"/>
          <w:sz w:val="32"/>
          <w:szCs w:val="32"/>
        </w:rPr>
      </w:pPr>
      <w:bookmarkStart w:id="10" w:name="section-3-4"/>
      <w:r>
        <w:rPr>
          <w:rFonts w:hint="eastAsia" w:ascii="黑体" w:hAnsi="黑体" w:eastAsia="黑体" w:cs="黑体"/>
          <w:b w:val="1"/>
          <w:color w:val="000000"/>
          <w:sz w:val="32"/>
        </w:rPr>
        <w:t>3.4 字段设计（最小可回溯字段集，草案）</w:t>
      </w:r>
      <w:bookmarkEnd w:id="10"/>
    </w:p>
    <w:tbl>
      <w:tblPr>
        <w:tblW w:w="8306" w:type="dxa"/>
        <w:shd w:color="000000"/>
        <w:tblLayout w:type="autofit"/>
        <w:tblCellMar/>
      </w:tblPr>
      <w:tblGrid>
        <w:gridCol w:w="2824"/>
        <w:gridCol w:w="1827"/>
        <w:gridCol w:w="3654"/>
      </w:tblGrid>
      <w:tr>
        <w:trPr>
          <w:tblHeader w:val="1"/>
        </w:trPr>
        <w:tc>
          <w:tcPr>
            <w:tcW w:w="282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8125F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字段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ECB9B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来源</w:t>
            </w:r>
          </w:p>
        </w:tc>
        <w:tc>
          <w:tcPr>
            <w:tcW w:w="365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9C8197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说明</w:t>
            </w:r>
          </w:p>
        </w:tc>
      </w:tr>
      <w:tr>
        <w:trPr/>
        <w:tc>
          <w:tcPr>
            <w:tcW w:w="282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4FC6B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岗位代号 / 工序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81CA79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系统只读</w:t>
            </w:r>
          </w:p>
        </w:tc>
        <w:tc>
          <w:tcPr>
            <w:tcW w:w="365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25FC1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关键对齐字段（f31）</w:t>
            </w:r>
          </w:p>
        </w:tc>
      </w:tr>
      <w:tr>
        <w:trPr/>
        <w:tc>
          <w:tcPr>
            <w:tcW w:w="282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CA3F65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指引版本号 + 确认状态 + 有效期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15A75F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系统只读</w:t>
            </w:r>
          </w:p>
        </w:tc>
        <w:tc>
          <w:tcPr>
            <w:tcW w:w="365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5DDAF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现行有效版本判定依据（f24）</w:t>
            </w:r>
          </w:p>
        </w:tc>
      </w:tr>
      <w:tr>
        <w:trPr/>
        <w:tc>
          <w:tcPr>
            <w:tcW w:w="282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7D6BB7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培训确认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34942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系统只读</w:t>
            </w:r>
          </w:p>
        </w:tc>
        <w:tc>
          <w:tcPr>
            <w:tcW w:w="365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5F6590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培训记录与指引版本的一致性核对（f31）</w:t>
            </w:r>
          </w:p>
        </w:tc>
      </w:tr>
      <w:tr>
        <w:trPr/>
        <w:tc>
          <w:tcPr>
            <w:tcW w:w="282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0125E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未确认事项 + 截止时间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5A556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交接填写</w:t>
            </w:r>
          </w:p>
        </w:tc>
        <w:tc>
          <w:tcPr>
            <w:tcW w:w="365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7487FC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交接单必填项，缺失即"不可回溯"（f23）</w:t>
            </w:r>
          </w:p>
        </w:tc>
      </w:tr>
      <w:tr>
        <w:trPr/>
        <w:tc>
          <w:tcPr>
            <w:tcW w:w="282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01375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异常记录（原行保留）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5D6B6E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系统只读</w:t>
            </w:r>
          </w:p>
        </w:tc>
        <w:tc>
          <w:tcPr>
            <w:tcW w:w="365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01550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发生时间与回填时间分列（f13、f33）</w:t>
            </w:r>
          </w:p>
        </w:tc>
      </w:tr>
      <w:tr>
        <w:trPr/>
        <w:tc>
          <w:tcPr>
            <w:tcW w:w="282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7A709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复核人 + 复核状态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2C9A6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人工补录</w:t>
            </w:r>
          </w:p>
        </w:tc>
        <w:tc>
          <w:tcPr>
            <w:tcW w:w="365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FA5A57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补录须挂版本与未结项，不得覆盖已确认接收人记录（f25、f20）</w:t>
            </w:r>
          </w:p>
        </w:tc>
      </w:tr>
    </w:tbl>
    <w:p w14:paraId="649139A4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5f7fa"/>
            <w:vAlign w:val="center"/>
          </w:tcPr>
          <w:p w14:paraId="01CA572B">
            <w:pPr>
              <w:rPr>
                <w:color w:val="5f6368"/>
              </w:rPr>
            </w:pPr>
            <w:r>
              <w:rPr>
                <w:rFonts w:hint="eastAsia" w:ascii="宋体" w:hAnsi="宋体" w:eastAsia="宋体" w:cs="宋体"/>
                <w:color w:val="5f6368"/>
                <w:sz w:val="20"/>
              </w:rPr>
              <w:t>注：此为草案，最终字段集须待 P0-2 确认、并由秦芮出具字段映射后定稿。</w:t>
            </w:r>
          </w:p>
        </w:tc>
      </w:tr>
    </w:tbl>
    <w:p w14:paraId="4403CCD2">
      <w:pPr>
        <w:pStyle w:val="000005"/>
        <w:keepNext w:val="1"/>
        <w:keepLines w:val="1"/>
        <w:spacing w:before="384" w:beforeAutospacing="1" w:after="192" w:afterAutospacing="1" w:line="336"/>
        <w:outlineLvl w:val="1"/>
        <w:rPr>
          <w:color w:val="1a5fb4"/>
          <w:sz w:val="32"/>
          <w:szCs w:val="32"/>
        </w:rPr>
      </w:pPr>
      <w:bookmarkStart w:id="11" w:name="section-4"/>
      <w:r>
        <w:rPr>
          <w:rFonts w:hint="eastAsia" w:ascii="黑体" w:hAnsi="黑体" w:eastAsia="黑体" w:cs="黑体"/>
          <w:b w:val="1"/>
          <w:color w:val="1a5fb4"/>
          <w:sz w:val="44"/>
        </w:rPr>
        <w:t>四、实施路径（四阶段）</w:t>
      </w:r>
      <w:bookmarkEnd w:id="11"/>
    </w:p>
    <w:tbl>
      <w:tblPr>
        <w:tblW w:w="8306" w:type="dxa"/>
        <w:shd w:color="000000"/>
        <w:tblLayout w:type="autofit"/>
        <w:tblCellMar/>
      </w:tblPr>
      <w:tblGrid>
        <w:gridCol w:w="1328"/>
        <w:gridCol w:w="2990"/>
        <w:gridCol w:w="2159"/>
        <w:gridCol w:w="1827"/>
      </w:tblGrid>
      <w:tr>
        <w:trPr>
          <w:tblHeader w:val="1"/>
        </w:trPr>
        <w:tc>
          <w:tcPr>
            <w:tcW w:w="132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E3AE5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阶段</w:t>
            </w:r>
          </w:p>
        </w:tc>
        <w:tc>
          <w:tcPr>
            <w:tcW w:w="299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C8704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内容</w:t>
            </w:r>
          </w:p>
        </w:tc>
        <w:tc>
          <w:tcPr>
            <w:tcW w:w="215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02DDC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前置条件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4257DC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产出</w:t>
            </w:r>
          </w:p>
        </w:tc>
      </w:tr>
      <w:tr>
        <w:trPr/>
        <w:tc>
          <w:tcPr>
            <w:tcW w:w="132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2F329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M1 口径确认（约 1–2 周）</w:t>
            </w:r>
          </w:p>
        </w:tc>
        <w:tc>
          <w:tcPr>
            <w:tcW w:w="299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4D8EED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三个 P0 问题书面确认；候选岗位与工序清单定稿（先挑交接频次高、版本易不一致的交接点，f04 口径）；字段映射草案评审</w:t>
            </w:r>
          </w:p>
        </w:tc>
        <w:tc>
          <w:tcPr>
            <w:tcW w:w="215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86CF2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顾明岚牵头，唐映秋、傅景、林亦舟参与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359C1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《版本维护责任人确认单》《最小可回溯字段集》《试点岗位工序清单》</w:t>
            </w:r>
          </w:p>
        </w:tc>
      </w:tr>
      <w:tr>
        <w:trPr/>
        <w:tc>
          <w:tcPr>
            <w:tcW w:w="132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E3D37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M2 最小可用（约 2–4 周）</w:t>
            </w:r>
          </w:p>
        </w:tc>
        <w:tc>
          <w:tcPr>
            <w:tcW w:w="299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FE99B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只读数据接入 + F1/F2 上线（版本核对、交接单检查）+ 审计日志</w:t>
            </w:r>
          </w:p>
        </w:tc>
        <w:tc>
          <w:tcPr>
            <w:tcW w:w="215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5C87F1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M1 完成；秦芮确认脱敏导出接口与字段映射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BCD7B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可运行的核对工具 + 审计查询</w:t>
            </w:r>
          </w:p>
        </w:tc>
      </w:tr>
      <w:tr>
        <w:trPr/>
        <w:tc>
          <w:tcPr>
            <w:tcW w:w="132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F3A94C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M3 试点运行（一个批次）</w:t>
            </w:r>
          </w:p>
        </w:tc>
        <w:tc>
          <w:tcPr>
            <w:tcW w:w="299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34EB1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F3/F4 上线；覆盖一个批次的岗位作业交接包（f05）；重点观察"版本变更后首个夜班"窗口</w:t>
            </w:r>
          </w:p>
        </w:tc>
        <w:tc>
          <w:tcPr>
            <w:tcW w:w="215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C02B27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M2 通过冒烟验证；授权名单确认（f41）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4BF9C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试点运行报告</w:t>
            </w:r>
          </w:p>
        </w:tc>
      </w:tr>
      <w:tr>
        <w:trPr/>
        <w:tc>
          <w:tcPr>
            <w:tcW w:w="132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82B0B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M4 复盘与推广决策</w:t>
            </w:r>
          </w:p>
        </w:tc>
        <w:tc>
          <w:tcPr>
            <w:tcW w:w="299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7716F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对照验收标准复盘；业务、质量、客户三方确认后决定是否扩大范围（f04）</w:t>
            </w:r>
          </w:p>
        </w:tc>
        <w:tc>
          <w:tcPr>
            <w:tcW w:w="2159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47D416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M3 数据完整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D5A2A2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复盘报告 + 推广建议</w:t>
            </w:r>
          </w:p>
        </w:tc>
      </w:tr>
    </w:tbl>
    <w:p w14:paraId="4193A24F">
      <w:pPr>
        <w:pStyle w:val="000005"/>
        <w:keepNext w:val="1"/>
        <w:keepLines w:val="1"/>
        <w:spacing w:before="384" w:beforeAutospacing="1" w:after="192" w:afterAutospacing="1" w:line="336"/>
        <w:outlineLvl w:val="1"/>
        <w:rPr>
          <w:color w:val="1a5fb4"/>
          <w:sz w:val="32"/>
          <w:szCs w:val="32"/>
        </w:rPr>
      </w:pPr>
      <w:bookmarkStart w:id="12" w:name="section-5"/>
      <w:r>
        <w:rPr>
          <w:rFonts w:hint="eastAsia" w:ascii="黑体" w:hAnsi="黑体" w:eastAsia="黑体" w:cs="黑体"/>
          <w:b w:val="1"/>
          <w:color w:val="1a5fb4"/>
          <w:sz w:val="44"/>
        </w:rPr>
        <w:t>五、验收标准（试点批次）</w:t>
      </w:r>
      <w:bookmarkEnd w:id="12"/>
    </w:p>
    <w:p w14:paraId="189F32BF">
      <w:pPr>
        <w:spacing w:after="192" w:line="408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按质量侧已给出的演练质量标准执行（f42），三条全过才算通过：</w:t>
      </w:r>
    </w:p>
    <w:p w14:paraId="0ACA7FC8">
      <w:pPr>
        <w:numPr>
          <w:ilvl w:val="0"/>
          <w:numId w:val="4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50 次交接全部匹配指引版本</w:t>
      </w:r>
      <w:r>
        <w:rPr>
          <w:rFonts w:hint="eastAsia" w:ascii="宋体" w:hAnsi="宋体" w:eastAsia="宋体" w:cs="宋体"/>
          <w:color w:val="000000"/>
          <w:sz w:val="24"/>
        </w:rPr>
        <w:t>——版本核对覆盖率达 100%，无使用作废版本未被提示的情况；</w:t>
      </w:r>
    </w:p>
    <w:p w14:paraId="3506A236">
      <w:pPr>
        <w:numPr>
          <w:ilvl w:val="0"/>
          <w:numId w:val="4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未复核异常保留责任人与状态</w:t>
      </w:r>
      <w:r>
        <w:rPr>
          <w:rFonts w:hint="eastAsia" w:ascii="宋体" w:hAnsi="宋体" w:eastAsia="宋体" w:cs="宋体"/>
          <w:color w:val="000000"/>
          <w:sz w:val="24"/>
        </w:rPr>
        <w:t>——异常清单中不存在无责任人、无状态的条目；</w:t>
      </w:r>
    </w:p>
    <w:p w14:paraId="372A1378">
      <w:pPr>
        <w:numPr>
          <w:ilvl w:val="0"/>
          <w:numId w:val="4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每条结果关联来源与人工复核记录</w:t>
      </w:r>
      <w:r>
        <w:rPr>
          <w:rFonts w:hint="eastAsia" w:ascii="宋体" w:hAnsi="宋体" w:eastAsia="宋体" w:cs="宋体"/>
          <w:color w:val="000000"/>
          <w:sz w:val="24"/>
        </w:rPr>
        <w:t>——每条输出可点开溯源到原始记录和复核动作。</w:t>
      </w:r>
    </w:p>
    <w:p w14:paraId="63147F77">
      <w:pPr>
        <w:spacing w:after="192" w:line="408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附加审计验收：访问记录满足"谁查过、哪一版、什么建议、谁确认"四要素（f45）；交接单回溯抽检满足 P0-2 确认的最小字段集。</w:t>
      </w:r>
    </w:p>
    <w:p w14:paraId="52D6BCE8">
      <w:pPr>
        <w:pStyle w:val="000005"/>
        <w:keepNext w:val="1"/>
        <w:keepLines w:val="1"/>
        <w:spacing w:before="384" w:beforeAutospacing="1" w:after="192" w:afterAutospacing="1" w:line="336"/>
        <w:outlineLvl w:val="1"/>
        <w:rPr>
          <w:color w:val="1a5fb4"/>
          <w:sz w:val="32"/>
          <w:szCs w:val="32"/>
        </w:rPr>
      </w:pPr>
      <w:bookmarkStart w:id="13" w:name="section-6"/>
      <w:r>
        <w:rPr>
          <w:rFonts w:hint="eastAsia" w:ascii="黑体" w:hAnsi="黑体" w:eastAsia="黑体" w:cs="黑体"/>
          <w:b w:val="1"/>
          <w:color w:val="1a5fb4"/>
          <w:sz w:val="44"/>
        </w:rPr>
        <w:t>六、风险与应对</w:t>
      </w:r>
      <w:bookmarkEnd w:id="13"/>
    </w:p>
    <w:tbl>
      <w:tblPr>
        <w:tblW w:w="8306" w:type="dxa"/>
        <w:shd w:color="000000"/>
        <w:tblLayout w:type="autofit"/>
        <w:tblCellMar/>
      </w:tblPr>
      <w:tblGrid>
        <w:gridCol w:w="1328"/>
        <w:gridCol w:w="3156"/>
        <w:gridCol w:w="3820"/>
      </w:tblGrid>
      <w:tr>
        <w:trPr>
          <w:tblHeader w:val="1"/>
        </w:trPr>
        <w:tc>
          <w:tcPr>
            <w:tcW w:w="132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E61922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风险</w:t>
            </w:r>
          </w:p>
        </w:tc>
        <w:tc>
          <w:tcPr>
            <w:tcW w:w="315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81F96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表现</w:t>
            </w:r>
          </w:p>
        </w:tc>
        <w:tc>
          <w:tcPr>
            <w:tcW w:w="38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A55D2E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应对</w:t>
            </w:r>
          </w:p>
        </w:tc>
      </w:tr>
      <w:tr>
        <w:trPr/>
        <w:tc>
          <w:tcPr>
            <w:tcW w:w="132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32CF5D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责任悬空</w:t>
            </w:r>
          </w:p>
        </w:tc>
        <w:tc>
          <w:tcPr>
            <w:tcW w:w="315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9D593E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异常上报后无人认领版本维护（P0-1 未落实的直接后果）</w:t>
            </w:r>
          </w:p>
        </w:tc>
        <w:tc>
          <w:tcPr>
            <w:tcW w:w="38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BF7711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M1 未完成不进入 M2；责任人与响应时限写入确认单</w:t>
            </w:r>
          </w:p>
        </w:tc>
      </w:tr>
      <w:tr>
        <w:trPr/>
        <w:tc>
          <w:tcPr>
            <w:tcW w:w="132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4E91E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现场绕过</w:t>
            </w:r>
          </w:p>
        </w:tc>
        <w:tc>
          <w:tcPr>
            <w:tcW w:w="315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7458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同事继续"群消息解决+补表格"，数据失真（f13）</w:t>
            </w:r>
          </w:p>
        </w:tc>
        <w:tc>
          <w:tcPr>
            <w:tcW w:w="38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737C41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异常识别以原始记录为准、回填时间单列；试点期间现场收集群消息与表格的时间差样本，不强行改变习惯</w:t>
            </w:r>
          </w:p>
        </w:tc>
      </w:tr>
      <w:tr>
        <w:trPr/>
        <w:tc>
          <w:tcPr>
            <w:tcW w:w="132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BCDCE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错误传播</w:t>
            </w:r>
          </w:p>
        </w:tc>
        <w:tc>
          <w:tcPr>
            <w:tcW w:w="315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6A084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智能体输出被当作业务指令直接执行（f40 红线）</w:t>
            </w:r>
          </w:p>
        </w:tc>
        <w:tc>
          <w:tcPr>
            <w:tcW w:w="38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10D08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所有输出带"辅助核对结果，须人工确认"水印标识；正式结论仅出自授权人员确认动作</w:t>
            </w:r>
          </w:p>
        </w:tc>
      </w:tr>
      <w:tr>
        <w:trPr/>
        <w:tc>
          <w:tcPr>
            <w:tcW w:w="132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F7300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数据质量</w:t>
            </w:r>
          </w:p>
        </w:tc>
        <w:tc>
          <w:tcPr>
            <w:tcW w:w="315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4DE0D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重复编号、空时间、版本断链、单位差异（f33）</w:t>
            </w:r>
          </w:p>
        </w:tc>
        <w:tc>
          <w:tcPr>
            <w:tcW w:w="38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A36D5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接入层前置质量检查，问题记录保留原行、不静默修复</w:t>
            </w:r>
          </w:p>
        </w:tc>
      </w:tr>
      <w:tr>
        <w:trPr/>
        <w:tc>
          <w:tcPr>
            <w:tcW w:w="132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2D34E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口径漂移</w:t>
            </w:r>
          </w:p>
        </w:tc>
        <w:tc>
          <w:tcPr>
            <w:tcW w:w="315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10FA3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客户侧拿两张汇总表互相比对产生分歧</w:t>
            </w:r>
          </w:p>
        </w:tc>
        <w:tc>
          <w:tcPr>
            <w:tcW w:w="38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84BE87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以原始记录定义数量、状态、截止时间口径（f53）；客户投诉先登记原始问题、相关版本与恢复需求（f54）</w:t>
            </w:r>
          </w:p>
        </w:tc>
      </w:tr>
    </w:tbl>
    <w:p w14:paraId="5E90DFEC">
      <w:pPr>
        <w:pStyle w:val="000005"/>
        <w:keepNext w:val="1"/>
        <w:keepLines w:val="1"/>
        <w:spacing w:before="384" w:beforeAutospacing="1" w:after="192" w:afterAutospacing="1" w:line="336"/>
        <w:outlineLvl w:val="1"/>
        <w:rPr>
          <w:color w:val="1a5fb4"/>
          <w:sz w:val="32"/>
          <w:szCs w:val="32"/>
        </w:rPr>
      </w:pPr>
      <w:bookmarkStart w:id="14" w:name="section-7"/>
      <w:r>
        <w:rPr>
          <w:rFonts w:hint="eastAsia" w:ascii="黑体" w:hAnsi="黑体" w:eastAsia="黑体" w:cs="黑体"/>
          <w:b w:val="1"/>
          <w:color w:val="1a5fb4"/>
          <w:sz w:val="44"/>
        </w:rPr>
        <w:t>七、组织分工</w:t>
      </w:r>
      <w:bookmarkEnd w:id="14"/>
    </w:p>
    <w:tbl>
      <w:tblPr>
        <w:tblW w:w="8306" w:type="dxa"/>
        <w:shd w:color="000000"/>
        <w:tblLayout w:type="autofit"/>
        <w:tblCellMar/>
      </w:tblPr>
      <w:tblGrid>
        <w:gridCol w:w="1827"/>
        <w:gridCol w:w="1827"/>
        <w:gridCol w:w="4651"/>
      </w:tblGrid>
      <w:tr>
        <w:trPr>
          <w:tblHeader w:val="1"/>
        </w:trPr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77ABF2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角色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C95CE14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访谈代号</w:t>
            </w:r>
          </w:p>
        </w:tc>
        <w:tc>
          <w:tcPr>
            <w:tcW w:w="46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F8A10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  <w:sz w:val="20"/>
              </w:rPr>
              <w:t>在本项目中的职责</w:t>
            </w:r>
          </w:p>
        </w:tc>
      </w:tr>
      <w:tr>
        <w:trPr/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CB77D3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业务负责人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B9F898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顾明岚</w:t>
            </w:r>
          </w:p>
        </w:tc>
        <w:tc>
          <w:tcPr>
            <w:tcW w:w="46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3DD4B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定试点范围与验收决策；给业务授权口径</w:t>
            </w:r>
          </w:p>
        </w:tc>
      </w:tr>
      <w:tr>
        <w:trPr/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B8ABC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外包现场专员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74AD3D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林亦舟</w:t>
            </w:r>
          </w:p>
        </w:tc>
        <w:tc>
          <w:tcPr>
            <w:tcW w:w="46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C11426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提供现场操作事实与交接清单；验证异常识别口径</w:t>
            </w:r>
          </w:p>
        </w:tc>
      </w:tr>
      <w:tr>
        <w:trPr/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2342D0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交付项目协调员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9DE218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唐映秋</w:t>
            </w:r>
          </w:p>
        </w:tc>
        <w:tc>
          <w:tcPr>
            <w:tcW w:w="46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22F07A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版本维护与交接责任清单；最小可回溯字段集</w:t>
            </w:r>
          </w:p>
        </w:tc>
      </w:tr>
      <w:tr>
        <w:trPr/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6D99E7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数据与系统工程师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F4383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秦芮</w:t>
            </w:r>
          </w:p>
        </w:tc>
        <w:tc>
          <w:tcPr>
            <w:tcW w:w="46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0CB4DE8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字段映射、脱敏只读导出、数据质量检查条件</w:t>
            </w:r>
          </w:p>
        </w:tc>
      </w:tr>
      <w:tr>
        <w:trPr/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F0B8A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质量复核负责人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DD5A95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傅景</w:t>
            </w:r>
          </w:p>
        </w:tc>
        <w:tc>
          <w:tcPr>
            <w:tcW w:w="46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86F027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复核层级与闭环判定；审计要求；保留停止试点的权利</w:t>
            </w:r>
          </w:p>
        </w:tc>
      </w:tr>
      <w:tr>
        <w:trPr/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BEF4E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客户项目负责人</w:t>
            </w:r>
          </w:p>
        </w:tc>
        <w:tc>
          <w:tcPr>
            <w:tcW w:w="1827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75D055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叶书</w:t>
            </w:r>
          </w:p>
        </w:tc>
        <w:tc>
          <w:tcPr>
            <w:tcW w:w="4651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A230C5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0"/>
              </w:rPr>
              <w:t>跨团队口径确认；结果用途确认；反馈闭环</w:t>
            </w:r>
          </w:p>
        </w:tc>
      </w:tr>
    </w:tbl>
    <w:p w14:paraId="33EC1FEC">
      <w:pPr>
        <w:pStyle w:val="000005"/>
        <w:keepNext w:val="1"/>
        <w:keepLines w:val="1"/>
        <w:spacing w:before="384" w:beforeAutospacing="1" w:after="192" w:afterAutospacing="1" w:line="336"/>
        <w:outlineLvl w:val="1"/>
        <w:rPr>
          <w:color w:val="1a5fb4"/>
          <w:sz w:val="32"/>
          <w:szCs w:val="32"/>
        </w:rPr>
      </w:pPr>
      <w:bookmarkStart w:id="15" w:name="section-8"/>
      <w:r>
        <w:rPr>
          <w:rFonts w:hint="eastAsia" w:ascii="黑体" w:hAnsi="黑体" w:eastAsia="黑体" w:cs="黑体"/>
          <w:b w:val="1"/>
          <w:color w:val="1a5fb4"/>
          <w:sz w:val="44"/>
        </w:rPr>
        <w:t>八、待验证假设清单（开发前必须关闭）</w:t>
      </w:r>
      <w:bookmarkEnd w:id="15"/>
    </w:p>
    <w:p w14:paraId="1AE5096E">
      <w:pPr>
        <w:spacing w:after="192" w:line="408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以下问题在访谈中明确未核实（报告"证据缺口"节），全部关闭前不进入 M2 开发：</w:t>
      </w:r>
    </w:p>
    <w:p w14:paraId="3C489A2A">
      <w:pPr>
        <w:numPr>
          <w:ilvl w:val="0"/>
          <w:numId w:val="5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现行有效版本的维护责任人具体是谁，响应时限多久，异常上报后由谁认领？（P0）</w:t>
      </w:r>
    </w:p>
    <w:p w14:paraId="03AE4CE2">
      <w:pPr>
        <w:numPr>
          <w:ilvl w:val="0"/>
          <w:numId w:val="5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交接单"已完成"的最小可回溯字段集，是否必须挂培训记录与异常单？（P0）</w:t>
      </w:r>
    </w:p>
    <w:p w14:paraId="4D146E21">
      <w:pPr>
        <w:numPr>
          <w:ilvl w:val="0"/>
          <w:numId w:val="5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人工复核是现场初核+质量终核，还是授权人员一次性确认？异常升级到谁、时限多久？（P0）</w:t>
      </w:r>
    </w:p>
    <w:p w14:paraId="0A176216">
      <w:pPr>
        <w:numPr>
          <w:ilvl w:val="0"/>
          <w:numId w:val="5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授权确认名单与跨企业资料访问范围由谁定、按什么口径定？（P0）</w:t>
      </w:r>
    </w:p>
    <w:p w14:paraId="1581D93A">
      <w:pPr>
        <w:numPr>
          <w:ilvl w:val="0"/>
          <w:numId w:val="5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人工补录字段具体指哪些，由谁在哪个环节补？（P1）</w:t>
      </w:r>
    </w:p>
    <w:p w14:paraId="08588EFA">
      <w:pPr>
        <w:numPr>
          <w:ilvl w:val="0"/>
          <w:numId w:val="5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试点候选岗位与工序清单由谁提供、按什么标准选取？（P1）</w:t>
      </w:r>
    </w:p>
    <w:p w14:paraId="02E6402C">
      <w:pPr>
        <w:numPr>
          <w:ilvl w:val="0"/>
          <w:numId w:val="5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交接量、处理时长等基线统计样本（当前</w:t>
      </w:r>
      <w:r>
        <w:rPr>
          <w:rFonts w:hint="eastAsia" w:ascii="宋体" w:hAnsi="宋体" w:eastAsia="宋体" w:cs="宋体"/>
          <w:b w:val="1"/>
          <w:color w:val="000000"/>
          <w:sz w:val="24"/>
        </w:rPr>
        <w:t>待核</w:t>
      </w:r>
      <w:r>
        <w:rPr>
          <w:rFonts w:hint="eastAsia" w:ascii="宋体" w:hAnsi="宋体" w:eastAsia="宋体" w:cs="宋体"/>
          <w:color w:val="000000"/>
          <w:sz w:val="24"/>
        </w:rPr>
        <w:t>，影响目标量化）；</w:t>
      </w:r>
    </w:p>
    <w:p w14:paraId="40D895F1">
      <w:pPr>
        <w:numPr>
          <w:ilvl w:val="0"/>
          <w:numId w:val="5"/>
        </w:numPr>
        <w:spacing w:after="96" w:line="408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试点预算与成本核算口径（当前</w:t>
      </w:r>
      <w:r>
        <w:rPr>
          <w:rFonts w:hint="eastAsia" w:ascii="宋体" w:hAnsi="宋体" w:eastAsia="宋体" w:cs="宋体"/>
          <w:b w:val="1"/>
          <w:color w:val="000000"/>
          <w:sz w:val="24"/>
        </w:rPr>
        <w:t>待核</w:t>
      </w:r>
      <w:r>
        <w:rPr>
          <w:rFonts w:hint="eastAsia" w:ascii="宋体" w:hAnsi="宋体" w:eastAsia="宋体" w:cs="宋体"/>
          <w:color w:val="000000"/>
          <w:sz w:val="24"/>
        </w:rPr>
        <w:t>）。</w:t>
      </w:r>
    </w:p>
    <w:p w14:paraId="69B55C38">
      <w:pPr>
        <w:pStyle w:val="000005"/>
        <w:keepNext w:val="1"/>
        <w:keepLines w:val="1"/>
        <w:spacing w:before="384" w:beforeAutospacing="1" w:after="192" w:afterAutospacing="1" w:line="336"/>
        <w:outlineLvl w:val="1"/>
        <w:rPr>
          <w:color w:val="1a5fb4"/>
          <w:sz w:val="32"/>
          <w:szCs w:val="32"/>
        </w:rPr>
      </w:pPr>
      <w:bookmarkStart w:id="16" w:name="section-9"/>
      <w:r>
        <w:rPr>
          <w:rFonts w:hint="eastAsia" w:ascii="黑体" w:hAnsi="黑体" w:eastAsia="黑体" w:cs="黑体"/>
          <w:b w:val="1"/>
          <w:color w:val="1a5fb4"/>
          <w:sz w:val="44"/>
        </w:rPr>
        <w:t>九、结语</w:t>
      </w:r>
      <w:bookmarkEnd w:id="16"/>
    </w:p>
    <w:p w14:paraId="0DB99505">
      <w:pPr>
        <w:spacing w:after="192" w:line="408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这个智能体值不值得做，访谈里业务负责人已经给了答案：减少重复核对、但人工确认和来源追溯不能省（f00）。本方案的全部设计都围绕这句话展开——机器只做核对与留痕，判断权和签字权始终留在人手里。先在一个批次内把三个 P0 口径落死、把验收标准跑通，再谈推广。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5f7fa"/>
            <w:vAlign w:val="center"/>
          </w:tcPr>
          <w:p w14:paraId="0AFFC9A5">
            <w:pPr>
              <w:rPr>
                <w:color w:val="5f6368"/>
              </w:rPr>
            </w:pPr>
            <w:r>
              <w:rPr>
                <w:rFonts w:hint="eastAsia" w:ascii="宋体" w:hAnsi="宋体" w:eastAsia="宋体" w:cs="宋体"/>
                <w:color w:val="5f6368"/>
                <w:sz w:val="20"/>
              </w:rPr>
              <w:t>数据溯源说明：本方案全部证据编号（f00–f54）出自《上海外服（集团）有限公司 · 业务需求发现报告》（discovery-report.md / discovery-report.json / discovery-requirements.csv，三份文件内容一致）。该报告为合成演练产物，需求为待验证假设，覆盖率 20/36；所有结论需经业务、质量与客户侧人工确认后方可进入试点。</w:t>
            </w:r>
          </w:p>
        </w:tc>
      </w:tr>
    </w:tbl>
    <w:p w14:paraId="73DFC9D7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159435D4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F5D2ECF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num w:numId="4">
    <w:abstractNumId w:val="1"/>
  </w:num>
  <w:num w:numId="3">
    <w:abstractNumId w:val="3"/>
  </w:num>
  <w:num w:numId="1">
    <w:abstractNumId w:val="0"/>
  </w:num>
  <w:num w:numId="5">
    <w:abstractNumId w:val="2"/>
  </w:num>
  <w:num w:numId="2">
    <w:abstractNumId w:val="4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Signature" w:semiHidden="1" w:unhideWhenUsed="1"/>
    <w:lsdException w:name="FollowedHyperlink" w:semiHidden="1" w:unhideWhenUsed="1"/>
    <w:lsdException w:name="Body Text 3" w:semiHidden="1" w:unhideWhenUsed="1"/>
    <w:lsdException w:name="envelope address" w:semiHidden="1" w:unhideWhenUsed="1"/>
    <w:lsdException w:name="List 5" w:semiHidden="1" w:unhideWhenUsed="1"/>
    <w:lsdException w:name="List 2" w:semiHidden="1" w:unhideWhenUsed="1"/>
    <w:lsdException w:name="List Bullet 2" w:semiHidden="1" w:unhideWhenUsed="1"/>
    <w:lsdException w:name="toa heading" w:semiHidden="1" w:unhideWhenUsed="1"/>
    <w:lsdException w:name="heading 9" w:uiPriority="9" w:semiHidden="1" w:unhideWhenUsed="1" w:qFormat="1"/>
    <w:lsdException w:name="Body Text First Indent 2" w:semiHidden="1" w:unhideWhenUsed="1"/>
    <w:lsdException w:name="List Continue 3" w:semiHidden="1" w:unhideWhenUsed="1"/>
    <w:lsdException w:name="heading 4" w:uiPriority="9" w:semiHidden="1" w:unhideWhenUsed="1" w:qFormat="1"/>
    <w:lsdException w:name="footnote reference" w:semiHidden="1" w:unhideWhenUsed="1"/>
    <w:lsdException w:name="toc 5" w:uiPriority="39" w:semiHidden="1" w:unhideWhenUsed="1"/>
    <w:lsdException w:name="index 3" w:semiHidden="1" w:unhideWhenUsed="1"/>
    <w:lsdException w:name="footer" w:semiHidden="1" w:unhideWhenUsed="1"/>
    <w:lsdException w:name="index 6" w:semiHidden="1" w:unhideWhenUsed="1"/>
    <w:lsdException w:name="Block Text" w:semiHidden="1" w:unhideWhenUsed="1"/>
    <w:lsdException w:name="List Number 5" w:semiHidden="1" w:unhideWhenUsed="1"/>
    <w:lsdException w:name="List 4" w:semiHidden="1" w:unhideWhenUsed="1"/>
    <w:lsdException w:name="envelope return" w:semiHidden="1" w:unhideWhenUsed="1"/>
    <w:lsdException w:name="annotation reference" w:semiHidden="1" w:unhideWhenUsed="1"/>
    <w:lsdException w:name="Body Text Indent" w:semiHidden="1" w:unhideWhenUsed="1"/>
    <w:lsdException w:name="toc 9" w:uiPriority="39" w:semiHidden="1" w:unhideWhenUsed="1"/>
    <w:lsdException w:name="List Number 2" w:semiHidden="1" w:unhideWhenUsed="1"/>
    <w:lsdException w:name="caption" w:uiPriority="35" w:semiHidden="1" w:unhideWhenUsed="1" w:qFormat="1"/>
    <w:lsdException w:name="List Number" w:semiHidden="1" w:unhideWhenUsed="1"/>
    <w:lsdException w:name="endnote text" w:semiHidden="1" w:unhideWhenUsed="1"/>
    <w:lsdException w:name="Body Text First Indent" w:semiHidden="1" w:unhideWhenUsed="1"/>
    <w:lsdException w:name="heading 2" w:uiPriority="9" w:semiHidden="1" w:unhideWhenUsed="1" w:qFormat="1"/>
    <w:lsdException w:name="List Bullet 4" w:semiHidden="1" w:unhideWhenUsed="1"/>
    <w:lsdException w:name="Note Heading" w:semiHidden="1" w:unhideWhenUsed="1"/>
    <w:lsdException w:name="Normal Indent" w:semiHidden="1" w:unhideWhenUsed="1"/>
    <w:lsdException w:name="index heading" w:semiHidden="1" w:unhideWhenUsed="1"/>
    <w:lsdException w:name="index 8" w:semiHidden="1" w:unhideWhenUsed="1"/>
    <w:lsdException w:name="heading 3" w:uiPriority="9" w:semiHidden="1" w:unhideWhenUsed="1" w:qFormat="1"/>
    <w:lsdException w:name="List Number 3" w:semiHidden="1" w:unhideWhenUsed="1"/>
    <w:lsdException w:name="Message Header" w:semiHidden="1" w:unhideWhenUsed="1"/>
    <w:lsdException w:name="List Bullet 5" w:semiHidden="1" w:unhideWhenUsed="1"/>
    <w:lsdException w:name="toc 4" w:uiPriority="39" w:semiHidden="1" w:unhideWhenUsed="1"/>
    <w:lsdException w:name="Subtitle" w:uiPriority="11" w:qFormat="1"/>
    <w:lsdException w:name="Title" w:uiPriority="10" w:qFormat="1"/>
    <w:lsdException w:name="Default Paragraph Font" w:uiPriority="1" w:semiHidden="1" w:unhideWhenUsed="1"/>
    <w:lsdException w:name="macro" w:semiHidden="1" w:unhideWhenUsed="1"/>
    <w:lsdException w:name="List" w:semiHidden="1" w:unhideWhenUsed="1"/>
    <w:lsdException w:name="index 9" w:semiHidden="1" w:unhideWhenUsed="1"/>
    <w:lsdException w:name="index 2" w:semiHidden="1" w:unhideWhenUsed="1"/>
    <w:lsdException w:name="toc 8" w:uiPriority="39" w:semiHidden="1" w:unhideWhenUsed="1"/>
    <w:lsdException w:name="toc 3" w:uiPriority="39" w:semiHidden="1" w:unhideWhenUsed="1"/>
    <w:lsdException w:name="List Continue 4" w:semiHidden="1" w:unhideWhenUsed="1"/>
    <w:lsdException w:name="Strong" w:uiPriority="22" w:qFormat="1"/>
    <w:lsdException w:name="Hyperlink" w:semiHidden="1" w:unhideWhenUsed="1"/>
    <w:lsdException w:name="page number" w:semiHidden="1" w:unhideWhenUsed="1"/>
    <w:lsdException w:name="heading 8" w:uiPriority="9" w:semiHidden="1" w:unhideWhenUsed="1" w:qFormat="1"/>
    <w:lsdException w:name="index 5" w:semiHidden="1" w:unhideWhenUsed="1"/>
    <w:lsdException w:name="Closing" w:semiHidden="1" w:unhideWhenUsed="1"/>
    <w:lsdException w:name="List Number 4" w:semiHidden="1" w:unhideWhenUsed="1"/>
    <w:lsdException w:name="heading 1" w:uiPriority="9" w:qFormat="1"/>
    <w:lsdException w:name="Salutation" w:semiHidden="1" w:unhideWhenUsed="1"/>
    <w:lsdException w:name="Body Text 2" w:semiHidden="1" w:unhideWhenUsed="1"/>
    <w:lsdException w:name="toc 2" w:uiPriority="39" w:semiHidden="1" w:unhideWhenUsed="1"/>
    <w:lsdException w:name="List Bullet" w:semiHidden="1" w:unhideWhenUsed="1"/>
    <w:lsdException w:name="Date" w:semiHidden="1" w:unhideWhenUsed="1"/>
    <w:lsdException w:name="table of figures" w:semiHidden="1" w:unhideWhenUsed="1"/>
    <w:lsdException w:name="annotation text" w:semiHidden="1" w:unhideWhenUsed="1"/>
    <w:lsdException w:name="heading 7" w:uiPriority="9" w:semiHidden="1" w:unhideWhenUsed="1" w:qFormat="1"/>
    <w:lsdException w:name="footnote text" w:semiHidden="1" w:unhideWhenUsed="1"/>
    <w:lsdException w:name="toc 1" w:uiPriority="39" w:semiHidden="1" w:unhideWhenUsed="1"/>
    <w:lsdException w:name="index 4" w:semiHidden="1" w:unhideWhenUsed="1"/>
    <w:lsdException w:name="Body Text Indent 3" w:semiHidden="1" w:unhideWhenUsed="1"/>
    <w:lsdException w:name="toc 6" w:uiPriority="39" w:semiHidden="1" w:unhideWhenUsed="1"/>
    <w:lsdException w:name="Body Text Indent 2" w:semiHidden="1" w:unhideWhenUsed="1"/>
    <w:lsdException w:name="Normal" w:uiPriority="0" w:qFormat="1"/>
    <w:lsdException w:name="List Bullet 3" w:semiHidden="1" w:unhideWhenUsed="1"/>
    <w:lsdException w:name="endnote reference" w:semiHidden="1" w:unhideWhenUsed="1"/>
    <w:lsdException w:name="line number" w:semiHidden="1" w:unhideWhenUsed="1"/>
    <w:lsdException w:name="table of authorities" w:semiHidden="1" w:unhideWhenUsed="1"/>
    <w:lsdException w:name="List Continue 5" w:semiHidden="1" w:unhideWhenUsed="1"/>
    <w:lsdException w:name="Body Text" w:semiHidden="1" w:unhideWhenUsed="1"/>
    <w:lsdException w:name="header" w:semiHidden="1" w:unhideWhenUsed="1"/>
    <w:lsdException w:name="heading 6" w:uiPriority="9" w:semiHidden="1" w:unhideWhenUsed="1" w:qFormat="1"/>
    <w:lsdException w:name="index 7" w:semiHidden="1" w:unhideWhenUsed="1"/>
    <w:lsdException w:name="index 1" w:semiHidden="1" w:unhideWhenUsed="1"/>
    <w:lsdException w:name="toc 7" w:uiPriority="39" w:semiHidden="1" w:unhideWhenUsed="1"/>
    <w:lsdException w:name="List 3" w:semiHidden="1" w:unhideWhenUsed="1"/>
    <w:lsdException w:name="heading 5" w:uiPriority="9" w:semiHidden="1" w:unhideWhenUsed="1" w:qFormat="1"/>
    <w:lsdException w:name="List Continue" w:semiHidden="1" w:unhideWhenUsed="1"/>
    <w:lsdException w:name="List Continue 2" w:semiHidden="1" w:unhideWhenUsed="1"/>
  </w:latentStyles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5" Type="http://schemas.openxmlformats.org/officeDocument/2006/relationships/footer" Target="footer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2026-10-13T11:37:35Z</dcterms:created>
  <dcterms:modified xsi:type="dcterms:W3CDTF">2026-10-13T11:37:35Z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"01a1334cc50678d3b8c588e69400fbd5", "ReservedCode1": "", "ContentPropagator": "00119111010856365494821B355", "PropagateID": "01a1334cc50678d3b8c588e69400fbd5", "ReservedCode2": ""}}</vt:lpwstr>
  </property>
</Properties>
</file>