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8"/>
        </w:rPr>
        <w:t>ĐẶC TẢ YÊU CẦU PHẦN MỀM — PAYKX</w:t>
      </w:r>
    </w:p>
    <w:p>
      <w:pPr>
        <w:spacing w:after="40"/>
      </w:pPr>
      <w:r>
        <w:rPr>
          <w:rFonts w:ascii="Arial" w:hAnsi="Arial"/>
          <w:b/>
          <w:color w:val="000000"/>
          <w:sz w:val="22"/>
        </w:rPr>
        <w:t>MỤC LỤC</w:t>
      </w:r>
    </w:p>
    <w:p>
      <w:pPr>
        <w:spacing w:after="60" w:line="240" w:lineRule="auto"/>
      </w:pPr>
      <w:r>
        <w:fldChar w:fldCharType="begin"/>
      </w:r>
      <w:r>
        <w:instrText xml:space="preserve"> TOC \o "1-2" \h \z \u </w:instrText>
      </w:r>
      <w:r>
        <w:fldChar w:fldCharType="separate"/>
      </w:r>
      <w:r>
        <w:t>1. Giới thiệu .......................................... 1</w:t>
        <w:br/>
      </w:r>
      <w:r>
        <w:t>    1.1. Mục đích ...................................... 1</w:t>
        <w:br/>
      </w:r>
      <w:r>
        <w:t>    1.2. Phạm vi ....................................... 1</w:t>
        <w:br/>
      </w:r>
      <w:r>
        <w:t>2. Tổng quan tính năng ................................. 1</w:t>
        <w:br/>
      </w:r>
      <w:r>
        <w:t>    2.1. Mô tả chung ................................... 1</w:t>
        <w:br/>
      </w:r>
      <w:r>
        <w:t>    2.2. Nguyên tắc hoạt động .......................... 1</w:t>
        <w:br/>
      </w:r>
      <w:r>
        <w:t>3. Luồng nghiệp vụ ..................................... 2</w:t>
        <w:br/>
      </w:r>
      <w:r>
        <w:t>    3.1. Điều kiện hoàn tiền ........................... 2</w:t>
        <w:br/>
      </w:r>
      <w:r>
        <w:t>    3.2. Quy trình hoàn tiền ........................... 2</w:t>
        <w:br/>
      </w:r>
      <w:r>
        <w:t>4. Mô tả chi tiết ...................................... 3</w:t>
        <w:br/>
      </w:r>
      <w:r>
        <w:t>    4.1. Tạo yêu cầu hoàn tiền ......................... 3</w:t>
        <w:br/>
      </w:r>
      <w:r>
        <w:t>    4.2. Xử lý hoàn tiền ............................... 3</w:t>
        <w:br/>
      </w:r>
      <w:r>
        <w:t>    4.3. Thông báo kết quả ............................. 3</w:t>
        <w:br/>
      </w:r>
      <w:r>
        <w:t>5. Quy định &amp; Giới hạn ................................. 4</w:t>
        <w:br/>
      </w:r>
      <w:r>
        <w:t>    5.1. Giới hạn số tiền hoàn ......................... 4</w:t>
        <w:br/>
      </w:r>
      <w:r>
        <w:t>    5.2. Thời gian xử lý ............................... 4</w:t>
        <w:br/>
      </w:r>
      <w:r>
        <w:t>6. Thông báo &amp; Lỗi ..................................... 4</w:t>
        <w:br/>
      </w:r>
      <w:r>
        <w:t>7. Phụ lục ............................................. 5</w:t>
        <w:br/>
      </w:r>
      <w:r>
        <w:fldChar w:fldCharType="end"/>
      </w:r>
    </w:p>
    <w:p>
      <w:pPr>
        <w:pStyle w:val="Heading1"/>
      </w:pPr>
      <w:r>
        <w:t>1. Giới thiệu</w:t>
      </w:r>
    </w:p>
    <w:p>
      <w:pPr>
        <w:pStyle w:val="Heading2"/>
      </w:pPr>
      <w:r>
        <w:t>1.1. Mục đích</w:t>
      </w:r>
    </w:p>
    <w:p>
      <w:r>
        <w:t>Tài liệu mô tả yêu cầu chức năng hoàn tiền của ví điện tử PayKX dành cho sinh viên. Tài liệu dùng thống nhất phạm vi, cách xử lý và tiêu chí kiểm thử.</w:t>
      </w:r>
    </w:p>
    <w:p>
      <w:pPr>
        <w:pStyle w:val="Heading2"/>
      </w:pPr>
      <w:r>
        <w:t>1.2. Phạm vi</w:t>
      </w:r>
    </w:p>
    <w:p>
      <w:r>
        <w:t>Phạm vi gồm tiếp nhận, kiểm tra, phê duyệt, ghi có lại ví và thông báo kết quả. Các giao dịch tranh chấp thẻ được xử lý theo quy trình riêng.</w:t>
      </w:r>
    </w:p>
    <w:p>
      <w:pPr>
        <w:pStyle w:val="Heading1"/>
      </w:pPr>
      <w:r>
        <w:t>2. Tổng quan tính năng</w:t>
      </w:r>
    </w:p>
    <w:p>
      <w:pPr>
        <w:pStyle w:val="Heading2"/>
      </w:pPr>
      <w:r>
        <w:t>2.1. Mô tả chung</w:t>
      </w:r>
    </w:p>
    <w:p>
      <w:r>
        <w:t>Người dùng có thể gửi yêu cầu hoàn đối với khoản thanh toán đủ điều kiện. Hệ thống theo dõi yêu cầu bằng mã duy nhất và hiển thị trạng thái mới nhất.</w:t>
      </w:r>
    </w:p>
    <w:p>
      <w:pPr>
        <w:pStyle w:val="Heading2"/>
      </w:pPr>
      <w:r>
        <w:t>2.2. Nguyên tắc hoạt động</w:t>
      </w:r>
    </w:p>
    <w:p>
      <w:r>
        <w:t>Mỗi yêu cầu liên kết một giao dịch gốc; tổng tiền hoàn không vượt số tiền đã thanh toán. Mọi thao tác có nhật ký và không tạo bút toán trùng khi gửi lại.</w:t>
      </w:r>
    </w:p>
    <w:p>
      <w:r>
        <w:br w:type="page"/>
      </w:r>
    </w:p>
    <w:p>
      <w:pPr>
        <w:pStyle w:val="Heading1"/>
      </w:pPr>
      <w:r>
        <w:t>3. Luồng nghiệp vụ</w:t>
      </w:r>
    </w:p>
    <w:p>
      <w:pPr>
        <w:pStyle w:val="Heading2"/>
      </w:pPr>
      <w:r>
        <w:t>3.1. Điều kiện hoàn tiền</w:t>
      </w:r>
    </w:p>
    <w:p>
      <w:r>
        <w:t>Giao dịch phải đã quyết toán, thuộc ví người gửi, còn trong thời hạn cấu hình và chưa được hoàn đủ. Ví phải đang hoạt động; giao dịch bị khóa hoặc thuộc danh mục loại trừ sẽ bị từ chối.</w:t>
      </w:r>
    </w:p>
    <w:p>
      <w:pPr>
        <w:pStyle w:val="Heading2"/>
      </w:pPr>
      <w:r>
        <w:t>3.2. Quy trình hoàn tiền</w:t>
      </w:r>
    </w:p>
    <w:p>
      <w:r>
        <w:t>Người dùng chọn giao dịch, nhập số tiền và lý do. PayKX kiểm tra điều kiện, tạo mã yêu cầu, sau đó tự động duyệt trong hạn mức hoặc chuyển vận hành xử lý ngoại lệ. Khi duyệt, hệ thống ghi có vào ví và cập nhật trạng thái.</w:t>
      </w:r>
    </w:p>
    <w:p>
      <w:r>
        <w:t>Nếu dịch vụ ví hoặc đối tác tạm thời không phản hồi, yêu cầu giữ trạng thái đang xử lý; hệ thống thử lại bằng khóa chống lặp.</w:t>
      </w:r>
    </w:p>
    <w:p>
      <w:r>
        <w:br w:type="page"/>
      </w:r>
    </w:p>
    <w:p>
      <w:pPr>
        <w:pStyle w:val="Heading1"/>
      </w:pPr>
      <w:r>
        <w:t>4. Mô tả chi tiết</w:t>
      </w:r>
    </w:p>
    <w:p>
      <w:pPr>
        <w:pStyle w:val="Heading2"/>
      </w:pPr>
      <w:r>
        <w:t>4.1. Tạo yêu cầu hoàn tiền</w:t>
      </w:r>
    </w:p>
    <w:p>
      <w:r>
        <w:t>Màn hình hiển thị mã giao dịch, ngày giờ, số tiền và trạng thái. Người dùng chọn hoàn toàn phần hoặc nhập số tiền hợp lệ, chọn lý do rồi xác nhận trước khi gửi.</w:t>
      </w:r>
    </w:p>
    <w:p>
      <w:pPr>
        <w:pStyle w:val="Heading2"/>
      </w:pPr>
      <w:r>
        <w:t>4.2. Xử lý hoàn tiền</w:t>
      </w:r>
    </w:p>
    <w:p>
      <w:r>
        <w:t>Hệ thống xác minh giao dịch gốc và hạn mức. Yêu cầu tự động trong chính sách được duyệt; trường hợp ngoại lệ cần nhân viên ghi quyết định. Bút toán ghi có phải nguyên tử và tham chiếu mã giao dịch cùng mã yêu cầu.</w:t>
      </w:r>
    </w:p>
    <w:p>
      <w:r>
        <w:t>Hoàn một phần nhiều lần được chấp nhận nếu tổng lũy kế chưa vượt số tiền gốc. Gửi lại yêu cầu có cùng khóa không tạo khoản hoàn mới.</w:t>
      </w:r>
    </w:p>
    <w:p>
      <w:pPr>
        <w:pStyle w:val="Heading2"/>
      </w:pPr>
      <w:r>
        <w:t>4.3. Thông báo kết quả</w:t>
      </w:r>
    </w:p>
    <w:p>
      <w:r>
        <w:t>Người dùng xem được trạng thái Đã nhận, Đang xử lý, Đã hoàn hoặc Bị từ chối. Khi trạng thái thay đổi, ứng dụng gửi thông báo kèm mã giao dịch rút gọn và lý do phù hợp.</w:t>
      </w:r>
    </w:p>
    <w:p>
      <w:r>
        <w:br w:type="page"/>
      </w:r>
    </w:p>
    <w:p>
      <w:pPr>
        <w:pStyle w:val="Heading1"/>
      </w:pPr>
      <w:r>
        <w:t>5. Quy định &amp; Giới hạn</w:t>
      </w:r>
    </w:p>
    <w:p>
      <w:pPr>
        <w:pStyle w:val="Heading2"/>
      </w:pPr>
      <w:r>
        <w:t>5.1. Giới hạn số tiền hoàn</w:t>
      </w:r>
    </w:p>
    <w:p>
      <w:r>
        <w:t>Số tiền hoàn tối thiểu là 1.000 VND và không vượt số tiền chưa hoàn của giao dịch gốc. Hạn mức tự động do vận hành cấu hình; yêu cầu vượt hạn mức chuyển duyệt thủ công.</w:t>
      </w:r>
    </w:p>
    <w:p>
      <w:pPr>
        <w:pStyle w:val="Heading2"/>
      </w:pPr>
      <w:r>
        <w:t>5.2. Thời gian xử lý</w:t>
      </w:r>
    </w:p>
    <w:p>
      <w:r>
        <w:t>Yêu cầu tự động được xác nhận ngay sau khi hệ thống kiểm tra. Yêu cầu chờ vận hành được xử lý trong tối đa 3 ngày làm việc; khi phụ thuộc đối tác, trạng thái phải thể hiện đang chờ.</w:t>
      </w:r>
    </w:p>
    <w:p>
      <w:pPr>
        <w:pStyle w:val="Heading1"/>
      </w:pPr>
      <w:r>
        <w:t>6. Thông báo &amp; Lỗi</w:t>
      </w:r>
    </w:p>
    <w:p>
      <w:r>
        <w:t>Lỗi dữ liệu phải nêu nguyên nhân dễ hiểu và không thay đổi số dư. Lỗi mạng hoặc dịch vụ được ghi nhật ký, thử lại an toàn; quá số lần thử thì chuyển hàng chờ vận hành. Không hiển thị dữ liệu nhạy cảm trong thông báo.</w:t>
      </w:r>
    </w:p>
    <w:p>
      <w:r>
        <w:br w:type="page"/>
      </w:r>
    </w:p>
    <w:p>
      <w:pPr>
        <w:pStyle w:val="Heading1"/>
      </w:pPr>
      <w:r>
        <w:t>7. Phụ lục</w:t>
      </w:r>
    </w:p>
    <w:p>
      <w:pPr>
        <w:pStyle w:val="Heading2"/>
      </w:pPr>
      <w:r>
        <w:t>7.1. Trường dữ liệu</w:t>
      </w:r>
    </w:p>
    <w:p>
      <w:r>
        <w:t>Mỗi yêu cầu gồm mã yêu cầu, mã giao dịch gốc, mã người dùng, số tiền, lý do, trạng thái, thời điểm tạo và cập nhật, nhân viên xử lý cùng ghi chú quyết định.</w:t>
      </w:r>
    </w:p>
    <w:p>
      <w:pPr>
        <w:pStyle w:val="Heading2"/>
      </w:pPr>
      <w:r>
        <w:t>7.2. Tiêu chí nghiệm thu</w:t>
      </w:r>
    </w:p>
    <w:p>
      <w:r>
        <w:t>Hệ thống từ chối giao dịch sai điều kiện mà không đổi số dư; yêu cầu hợp lệ được ghi có đúng một lần; tổng hoàn không vượt số tiền gốc; người dùng nhận được trạng thái và thông báo; vận hành truy vết được toàn bộ quyết định.</w:t>
      </w:r>
    </w:p>
    <w:p>
      <w:pPr>
        <w:pStyle w:val="Heading2"/>
      </w:pPr>
      <w:r>
        <w:t>7.3. Thuật ngữ</w:t>
      </w:r>
    </w:p>
    <w:p>
      <w:r>
        <w:t>Giao dịch gốc: khoản thanh toán được yêu cầu hoàn. Hoàn một phần: trả lại một phần số tiền. Khóa chống lặp: mã bảo đảm một yêu cầu chỉ được ghi nhận một lần.</w:t>
      </w:r>
    </w:p>
    <w:sectPr w:rsidR="00FC693F" w:rsidRPr="0006063C" w:rsidSect="00034616">
      <w:footerReference w:type="default" r:id="rId9"/>
      <w:pgSz w:w="12240" w:h="15840"/>
      <w:pgMar w:top="648"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PayKX  |  SRS hoàn tiền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