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3"/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Phần 1: Mã nguồn</w:t>
      </w:r>
    </w:p>
    <w:p>
      <w:r>
        <w:rPr>
          <w:rFonts w:ascii="Times New Roman" w:hAnsi="Times New Roman"/>
          <w:sz w:val="28"/>
          <w:szCs w:val="28"/>
        </w:rPr>
        <w:t xml:space="preserve">- Danh sách đầy đủ các câu lệnh Windows PowerShell đã sử dụng để hoàn thành 3 yêu cầu nghiệp vụ (tạo cây thư mục, tạo file, sao chép đệ quy), ghi theo đúng thứ tự thực thi.</w:t>
      </w:r>
    </w:p>
    <w:p>
      <w:r>
        <w:rPr>
          <w:rFonts w:ascii="Times New Roman" w:hAnsi="Times New Roman"/>
          <w:sz w:val="28"/>
          <w:szCs w:val="28"/>
        </w:rPr>
        <w:t xml:space="preserve">- Tạo cây thư mục:</w:t>
      </w:r>
    </w:p>
    <w:p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 xml:space="preserve">mkdir Farm-Manager; cd Farm-Manager</w:t>
      </w:r>
    </w:p>
    <w:p>
      <w:r>
        <w:rPr>
          <w:rFonts w:ascii="Times New Roman" w:hAnsi="Times New Roman"/>
          <w:b/>
          <w:bCs/>
          <w:sz w:val="28"/>
          <w:szCs w:val="28"/>
        </w:rPr>
        <w:t xml:space="preserve"> mkdir code/app, logs, database</w:t>
      </w:r>
    </w:p>
    <w:p>
      <w:r>
        <w:rPr>
          <w:rFonts w:ascii="Times New Roman" w:hAnsi="Times New Roman"/>
          <w:b/>
          <w:bCs/>
          <w:sz w:val="28"/>
          <w:szCs w:val="28"/>
        </w:rPr>
        <w:t xml:space="preserve"> ni code/app/main.py, code/app/models.py, code/app/utils.py , logs/app.log , logs/sensor.log, logs/access.log , database/farm.db , database/init.sql, README.md, docker-compose.yml</w:t>
      </w:r>
    </w:p>
    <w:p>
      <w:r>
        <w:rPr>
          <w:rFonts w:ascii="Times New Roman" w:hAnsi="Times New Roman"/>
          <w:b/>
          <w:bCs/>
          <w:sz w:val="28"/>
          <w:szCs w:val="28"/>
        </w:rPr>
        <w:t xml:space="preserve">cp .\logs -Destination .\logs-backup -Force -Recurse</w:t>
      </w:r>
    </w:p>
    <w:p>
      <w:r>
        <w:rPr>
          <w:rFonts w:ascii="Times New Roman" w:hAnsi="Times New Roman"/>
          <w:b/>
          <w:bCs/>
          <w:sz w:val="28"/>
          <w:szCs w:val="28"/>
        </w:rPr>
        <w:t xml:space="preserve">-Recurse : xử lí các tệp tin con </w:t>
      </w:r>
    </w:p>
    <w:p>
      <w:r>
        <w:rPr>
          <w:rFonts w:ascii="Times New Roman" w:hAnsi="Times New Roman"/>
          <w:b/>
          <w:bCs/>
          <w:sz w:val="28"/>
          <w:szCs w:val="28"/>
        </w:rPr>
        <w:t xml:space="preserve">-Force: ép thao tác và bỏ qua xác nhận.</w:t>
      </w:r>
    </w:p>
    <w:p/>
    <w:p>
      <w:pPr>
        <w:pStyle w:val="Heading3"/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Phần 2: Kiểm thử</w:t>
      </w:r>
    </w:p>
    <w:p>
      <w:r>
        <w:drawing>
          <wp:inline distT="0" distB="0" distL="0" distR="0">
            <wp:extent cx="5905500" cy="3124200"/>
            <wp:effectExtent l="0" t="0" r="0" b="0"/>
            <wp:docPr id="9002" name="Picture 90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Picture 900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sz w:val="28"/>
          <w:szCs w:val="28"/>
        </w:rPr>
        <w:t xml:space="preserve">Dùng đường dẫn tương đối .\ vì thư mục logs và logs-backup đều nằm ngay trong thư mục dự án hiện tại Farm-Manager.</w:t>
      </w:r>
    </w:p>
    <w:p>
      <w:r>
        <w:rPr>
          <w:rFonts w:ascii="Times New Roman" w:hAnsi="Times New Roman"/>
          <w:sz w:val="28"/>
          <w:szCs w:val="28"/>
        </w:rPr>
        <w:t xml:space="preserve">Nó giúp lệnh ngắn, dễ đọc và có thể chạy được ở máy khác hoặc khi chuyển dự án sang vị trí khác. Ngược lại, đường dẫn tuyệt đối như C:\Users\ThinkPad\Farm-Manager\... bị phụ thuộc vào đúng ổ đĩa và tên tài khoản trên máy của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aidocs1.png"/></Relationships>
</file>