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b/>
          <w:bCs/>
          <w:sz w:val="28"/>
          <w:szCs w:val="28"/>
        </w:rPr>
        <w:t xml:space="preserve">Phần 1 - So sánh cách trình bày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sz w:val="28"/>
                <w:szCs w:val="28"/>
              </w:rPr>
              <w:t xml:space="preserve">Tiêu chí</w:t>
            </w:r>
          </w:p>
        </w:tc>
        <w:tc>
          <w:tcPr>
            <w:tcW w:w="3120" w:type="dxa"/>
          </w:tcPr>
          <w:p>
            <w:r>
              <w:rPr>
                <w:rFonts w:ascii="Times New Roman" w:hAnsi="Times New Roman"/>
                <w:sz w:val="28"/>
                <w:szCs w:val="28"/>
              </w:rPr>
              <w:t xml:space="preserve">Copy bảng Excel 50 hàng lên slide</w:t>
            </w:r>
          </w:p>
        </w:tc>
        <w:tc>
          <w:tcPr>
            <w:tcW w:w="3120" w:type="dxa"/>
          </w:tcPr>
          <w:p>
            <w:r>
              <w:rPr>
                <w:rFonts w:ascii="Times New Roman" w:hAnsi="Times New Roman"/>
                <w:sz w:val="28"/>
                <w:szCs w:val="28"/>
              </w:rPr>
              <w:t xml:space="preserve">Bar Chart có highlight</w:t>
            </w:r>
          </w:p>
        </w:tc>
      </w:tr>
      <w:tr>
        <w:tc>
          <w:tcPr>
            <w:tcW w:w="3120" w:type="dxa"/>
          </w:tcPr>
          <w:p>
            <w:r>
              <w:rPr>
                <w:rFonts w:ascii="Times New Roman" w:hAnsi="Times New Roman"/>
                <w:sz w:val="28"/>
                <w:szCs w:val="28"/>
              </w:rPr>
              <w:t xml:space="preserve">Tính thuyết phục</w:t>
            </w:r>
          </w:p>
        </w:tc>
        <w:tc>
          <w:tcPr>
            <w:tcW w:w="3120" w:type="dxa"/>
          </w:tcPr>
          <w:p>
            <w:r>
              <w:rPr>
                <w:rFonts w:ascii="Times New Roman" w:hAnsi="Times New Roman"/>
                <w:sz w:val="28"/>
                <w:szCs w:val="28"/>
              </w:rPr>
              <w:t xml:space="preserve">Thấp: người xem phải tự tìm ý nghĩa trong nhiều con số; khó nhận ra xu hướng hay điểm nổi bật.</w:t>
            </w:r>
          </w:p>
        </w:tc>
        <w:tc>
          <w:tcPr>
            <w:tcW w:w="3120" w:type="dxa"/>
          </w:tcPr>
          <w:p>
            <w:r>
              <w:rPr>
                <w:rFonts w:ascii="Times New Roman" w:hAnsi="Times New Roman"/>
                <w:sz w:val="28"/>
                <w:szCs w:val="28"/>
              </w:rPr>
              <w:t xml:space="preserve">Cao hơn: làm rõ ngay so sánh chính và dẫn mắt tới số liệu quan trọng.</w:t>
            </w:r>
          </w:p>
        </w:tc>
      </w:tr>
      <w:tr>
        <w:tc>
          <w:tcPr>
            <w:tcW w:w="3120" w:type="dxa"/>
          </w:tcPr>
          <w:p>
            <w:r>
              <w:rPr>
                <w:rFonts w:ascii="Times New Roman" w:hAnsi="Times New Roman"/>
                <w:sz w:val="28"/>
                <w:szCs w:val="28"/>
              </w:rPr>
              <w:t xml:space="preserve">Tốc độ hiểu</w:t>
            </w:r>
          </w:p>
        </w:tc>
        <w:tc>
          <w:tcPr>
            <w:tcW w:w="3120" w:type="dxa"/>
          </w:tcPr>
          <w:p>
            <w:r>
              <w:rPr>
                <w:rFonts w:ascii="Times New Roman" w:hAnsi="Times New Roman"/>
                <w:sz w:val="28"/>
                <w:szCs w:val="28"/>
              </w:rPr>
              <w:t xml:space="preserve">Chậm: chữ và số thường quá nhỏ để đọc khi thuyết trình.</w:t>
            </w:r>
          </w:p>
        </w:tc>
        <w:tc>
          <w:tcPr>
            <w:tcW w:w="3120" w:type="dxa"/>
          </w:tcPr>
          <w:p>
            <w:r>
              <w:rPr>
                <w:rFonts w:ascii="Times New Roman" w:hAnsi="Times New Roman"/>
                <w:sz w:val="28"/>
                <w:szCs w:val="28"/>
              </w:rPr>
              <w:t xml:space="preserve">Nhanh: người xem có thể nắm thông điệp qua tiêu đề, hình dạng cột và phần được nhấn mạnh.</w:t>
            </w:r>
          </w:p>
        </w:tc>
      </w:tr>
      <w:tr>
        <w:tc>
          <w:tcPr>
            <w:tcW w:w="3120" w:type="dxa"/>
          </w:tcPr>
          <w:p>
            <w:r>
              <w:rPr>
                <w:rFonts w:ascii="Times New Roman" w:hAnsi="Times New Roman"/>
                <w:sz w:val="28"/>
                <w:szCs w:val="28"/>
              </w:rPr>
              <w:t xml:space="preserve">Vai trò của người thuyết trình</w:t>
            </w:r>
          </w:p>
        </w:tc>
        <w:tc>
          <w:tcPr>
            <w:tcW w:w="3120" w:type="dxa"/>
          </w:tcPr>
          <w:p>
            <w:r>
              <w:rPr>
                <w:rFonts w:ascii="Times New Roman" w:hAnsi="Times New Roman"/>
                <w:sz w:val="28"/>
                <w:szCs w:val="28"/>
              </w:rPr>
              <w:t xml:space="preserve">Dễ biến thành đọc lại bảng.</w:t>
            </w:r>
          </w:p>
        </w:tc>
        <w:tc>
          <w:tcPr>
            <w:tcW w:w="3120" w:type="dxa"/>
          </w:tcPr>
          <w:p>
            <w:r>
              <w:rPr>
                <w:rFonts w:ascii="Times New Roman" w:hAnsi="Times New Roman"/>
                <w:sz w:val="28"/>
                <w:szCs w:val="28"/>
              </w:rPr>
              <w:t xml:space="preserve">Có thể tập trung giải thích kết quả và ý nghĩa với nhà đầu tư.</w:t>
            </w:r>
          </w:p>
        </w:tc>
      </w:tr>
    </w:tbl>
    <w:p/>
    <w:p>
      <w:pPr>
        <w:pStyle w:val="Heading2"/>
      </w:pPr>
      <w:r>
        <w:rPr>
          <w:rFonts w:ascii="Times New Roman" w:hAnsi="Times New Roman"/>
          <w:b/>
          <w:bCs/>
          <w:sz w:val="28"/>
          <w:szCs w:val="28"/>
        </w:rPr>
        <w:t xml:space="preserve">Phần 2 - Đề xuất slide doanh thu</w:t>
      </w:r>
    </w:p>
    <w:p>
      <w:r>
        <w:rPr>
          <w:rFonts w:ascii="Times New Roman" w:hAnsi="Times New Roman"/>
          <w:sz w:val="28"/>
          <w:szCs w:val="28"/>
        </w:rPr>
        <w:t xml:space="preserve">Dùng một biểu đồ cột ngang để so sánh các hạng mục liên quan đến thông điệp chính. Nếu 50 hàng là 50 sản phẩm hoặc khách hàng, có thể trình bày Top 5–10 và gộp phần còn lại thành khác giữ bảng đầy đủ ở phụ lục để tra cứu.</w:t>
      </w:r>
    </w:p>
    <w:p>
      <w:r>
        <w:rPr>
          <w:rFonts w:ascii="Times New Roman" w:hAnsi="Times New Roman"/>
          <w:sz w:val="28"/>
          <w:szCs w:val="28"/>
        </w:rPr>
        <w:t xml:space="preserve">Tiêu đề kết luận: viết thành một nhận định mà dữ liệu thực sự chứng minh, chẳng hạn: </w:t>
      </w:r>
      <w:r>
        <w:rPr>
          <w:rFonts w:ascii="Times New Roman" w:hAnsi="Times New Roman"/>
          <w:i/>
          <w:iCs/>
          <w:sz w:val="28"/>
          <w:szCs w:val="28"/>
        </w:rPr>
        <w:t xml:space="preserve">"Ba sản phẩm dẫn đầu tạo ra X% doanh thu"</w:t>
      </w:r>
      <w:r>
        <w:rPr>
          <w:rFonts w:ascii="Times New Roman" w:hAnsi="Times New Roman"/>
          <w:sz w:val="28"/>
          <w:szCs w:val="28"/>
        </w:rPr>
        <w:t xml:space="preserve">. Điền X sau khi kiểm tra số liệu; tránh đặt tiêu đề chung như "Doanh thu".</w:t>
      </w:r>
    </w:p>
    <w:p>
      <w:r>
        <w:rPr>
          <w:rFonts w:ascii="Times New Roman" w:hAnsi="Times New Roman"/>
          <w:sz w:val="28"/>
          <w:szCs w:val="28"/>
        </w:rPr>
        <w:t xml:space="preserve">Màu sắc: dùng màu trung tính cho các cột còn lại, một màu chủ đạo để làm nổi bật cột liên quan trực tiếp đến kết luận. </w:t>
      </w:r>
    </w:p>
    <w:p>
      <w:pPr>
        <w:pStyle w:val="ListParagraph"/>
        <w:ind w:left="0"/>
      </w:pPr>
      <w:r>
        <w:rPr>
          <w:rFonts w:ascii="Times New Roman" w:hAnsi="Times New Roman"/>
          <w:sz w:val="28"/>
          <w:szCs w:val="28"/>
        </w:rPr>
        <w:t xml:space="preserve">Cỡ chữ: đặt tiêu đề và chữ trên slide ở tối thiểu 30 pt theo quy tắc 10/20/30; nếu nhãn biểu đồ không đọc được ở cỡ này, hãy giảm số hạng mục hiển thị hoặc chuyển chi tiết sang phụ lục.</w:t>
      </w:r>
    </w:p>
    <w:p>
      <w:pPr>
        <w:pStyle w:val="ListParagraph"/>
        <w:ind w:left="0"/>
      </w:pPr>
      <w:r>
        <w:rPr>
          <w:rFonts w:ascii="Times New Roman" w:hAnsi="Times New Roman"/>
          <w:sz w:val="28"/>
          <w:szCs w:val="28"/>
        </w:rPr>
        <w:t xml:space="preserve">Thông điệp: giữ mỗi slide tập trung vào một kết luận; dùng phần trình bày miệng để giải thích nguyên nhân và ý nghĩa của kết quả.</w:t>
      </w:r>
    </w:p>
    <w:p>
      <w:r>
        <w:rPr>
          <w:rFonts w:ascii="Times New Roman" w:hAnsi="Times New Roman"/>
          <w:sz w:val="28"/>
          <w:szCs w:val="28"/>
        </w:rPr>
        <w:t xml:space="preserve">Quy tắc 10/20/30 cũng gợi ý giới hạn bài thuyết trình ở khoảng 10 slide và 20 phút. Với nội dung kỹ thuật, hãy ưu tiên kết quả chính trên slide và đưa phương pháp, giả định cùng bảng dữ liệu chi tiết vào phần dự phòng.</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