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http://schemas.openxmlformats.org/officeDocument/2006/math">
  <w:body>
    <w:p>
      <w:pPr>
        <w:pStyle w:val="Heading2"/>
      </w:pPr>
      <w:r>
        <w:rPr>
          <w:rFonts w:ascii="Times New Roman" w:hAnsi="Times New Roman"/>
          <w:sz w:val="28"/>
          <w:szCs w:val="28"/>
        </w:rPr>
        <w:t xml:space="preserve">1. Vấn đề của bài</w:t>
      </w:r>
    </w:p>
    <w:p>
      <w:r>
        <w:rPr>
          <w:rFonts w:ascii="Times New Roman" w:hAnsi="Times New Roman"/>
          <w:sz w:val="28"/>
          <w:szCs w:val="28"/>
        </w:rPr>
        <w:t xml:space="preserve">Dự án cần lưu an toàn mã cảm biến, chia sẻ báo cáo đúng quyền, phối hợp xử lý lỗi và bàn giao khi kết thúc.</w:t>
      </w:r>
    </w:p>
    <w:p>
      <w:pPr>
        <w:pStyle w:val="Heading2"/>
      </w:pPr>
      <w:r>
        <w:rPr>
          <w:rFonts w:ascii="Times New Roman" w:hAnsi="Times New Roman"/>
          <w:sz w:val="28"/>
          <w:szCs w:val="28"/>
        </w:rPr>
        <w:t xml:space="preserve">2. Yêu cầu của bài</w:t>
      </w:r>
    </w:p>
    <w:p>
      <w:r>
        <w:rPr>
          <w:rFonts w:ascii="Times New Roman" w:hAnsi="Times New Roman"/>
          <w:sz w:val="28"/>
          <w:szCs w:val="28"/>
        </w:rPr>
        <w:t xml:space="preserve">Thiết kế hybrid workflow, phân quyền nhà đầu tư và nhà cung cấp, tạo kênh kỹ thuật có thể chuyển lỗi thành task, bảo vệ .env và nêu cách khôi phục thư mục sensors.</w:t>
      </w:r>
    </w:p>
    <w:p>
      <w:pPr>
        <w:pStyle w:val="Heading2"/>
      </w:pPr>
      <w:r>
        <w:rPr>
          <w:rFonts w:ascii="Times New Roman" w:hAnsi="Times New Roman"/>
          <w:sz w:val="28"/>
          <w:szCs w:val="28"/>
        </w:rPr>
        <w:t xml:space="preserve">3. Bẫy dữ liệu: bảo vệ .env và bàn giao</w:t>
      </w:r>
    </w:p>
    <w:p>
      <w:r>
        <w:rPr>
          <w:rFonts w:ascii="Times New Roman" w:hAnsi="Times New Roman"/>
          <w:sz w:val="28"/>
          <w:szCs w:val="28"/>
        </w:rPr>
        <w:t xml:space="preserve">Không đưa .env chứa mật khẩu vào git hoặc thư mục cloud được chia sẻ. Dùng .env.example không có mật khẩu thật; lưu bí mật riêng trong secret manager. Khi dự án kết thúc, dùng transfer ownership và xác nhận người nhận có quyền truy cập.</w:t>
      </w:r>
    </w:p>
    <w:p>
      <w:pPr>
        <w:pStyle w:val="Heading2"/>
      </w:pPr>
      <w:r>
        <w:rPr>
          <w:rFonts w:ascii="Times New Roman" w:hAnsi="Times New Roman"/>
          <w:sz w:val="28"/>
          <w:szCs w:val="28"/>
        </w:rPr>
        <w:t xml:space="preserve">4. Thiết kế không gian cộng tác</w:t>
      </w:r>
    </w:p>
    <w:p>
      <w:r>
        <w:rPr>
          <w:rFonts w:ascii="Times New Roman" w:hAnsi="Times New Roman"/>
          <w:sz w:val="28"/>
          <w:szCs w:val="28"/>
        </w:rPr>
        <w:t xml:space="preserve">Hybrid workflow: dev làm việc trên bản local của mã nguồn, commit và push thường xuyên lên git repository riêng tư. Tài liệu dự án lưu trong thư mục cloud có bật auto sync và version history.</w:t>
      </w:r>
    </w:p>
    <w:p>
      <w:r>
        <w:rPr>
          <w:rFonts w:ascii="Times New Roman" w:hAnsi="Times New Roman"/>
          <w:sz w:val="28"/>
          <w:szCs w:val="28"/>
        </w:rPr>
        <w:t xml:space="preserve">Cấu trúc thư mục:</w:t>
      </w:r>
    </w:p>
    <w:p>
      <w:r>
        <w:rPr>
          <w:rFonts w:ascii="Times New Roman" w:hAnsi="Times New Roman"/>
          <w:sz w:val="28"/>
          <w:szCs w:val="28"/>
        </w:rPr>
        <w:t xml:space="preserve">Green-tech/</w:t>
        <w:br/>
        <w:t xml:space="preserve">sensors/            </w:t>
        <w:br/>
        <w:t xml:space="preserve">reports/investor/  ,  reports/vendor-feedback/    </w:t>
        <w:br/>
        <w:t xml:space="preserve">docs/.env.example          </w:t>
      </w:r>
    </w:p>
    <w:p>
      <w:r>
        <w:rPr>
          <w:rFonts w:ascii="Times New Roman" w:hAnsi="Times New Roman"/>
          <w:sz w:val="28"/>
          <w:szCs w:val="28"/>
        </w:rPr>
        <w:t xml:space="preserve">Phân quyền: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120"/>
        <w:gridCol w:w="3120"/>
        <w:gridCol w:w="3120"/>
      </w:tblGrid>
      <w:tr>
        <w:tc>
          <w:tcPr>
            <w:tcW w:w="3120" w:type="dxa"/>
          </w:tcPr>
          <w:p>
            <w:r>
              <w:rPr>
                <w:rFonts w:ascii="Times New Roman" w:hAnsi="Times New Roman"/>
                <w:sz w:val="28"/>
                <w:szCs w:val="28"/>
              </w:rPr>
              <w:t xml:space="preserve">Đối tượng</w:t>
            </w:r>
          </w:p>
        </w:tc>
        <w:tc>
          <w:tcPr>
            <w:tcW w:w="3120" w:type="dxa"/>
          </w:tcPr>
          <w:p>
            <w:r>
              <w:rPr>
                <w:rFonts w:ascii="Times New Roman" w:hAnsi="Times New Roman"/>
                <w:sz w:val="28"/>
                <w:szCs w:val="28"/>
              </w:rPr>
              <w:t xml:space="preserve">Tài nguyên</w:t>
            </w:r>
          </w:p>
        </w:tc>
        <w:tc>
          <w:tcPr>
            <w:tcW w:w="3120" w:type="dxa"/>
          </w:tcPr>
          <w:p>
            <w:r>
              <w:rPr>
                <w:rFonts w:ascii="Times New Roman" w:hAnsi="Times New Roman"/>
                <w:sz w:val="28"/>
                <w:szCs w:val="28"/>
              </w:rPr>
              <w:t xml:space="preserve">Quyền</w:t>
            </w:r>
          </w:p>
        </w:tc>
      </w:tr>
      <w:tr>
        <w:tc>
          <w:tcPr>
            <w:tcW w:w="3120" w:type="dxa"/>
          </w:tcPr>
          <w:p>
            <w:r>
              <w:rPr>
                <w:rFonts w:ascii="Times New Roman" w:hAnsi="Times New Roman"/>
                <w:sz w:val="28"/>
                <w:szCs w:val="28"/>
              </w:rPr>
              <w:t xml:space="preserve">Đội dev</w:t>
            </w:r>
          </w:p>
        </w:tc>
        <w:tc>
          <w:tcPr>
            <w:tcW w:w="3120" w:type="dxa"/>
          </w:tcPr>
          <w:p>
            <w:r>
              <w:rPr>
                <w:rFonts w:ascii="Times New Roman" w:hAnsi="Times New Roman"/>
                <w:sz w:val="28"/>
                <w:szCs w:val="28"/>
              </w:rPr>
              <w:t xml:space="preserve">Sensors</w:t>
            </w:r>
          </w:p>
        </w:tc>
        <w:tc>
          <w:tcPr>
            <w:tcW w:w="3120" w:type="dxa"/>
          </w:tcPr>
          <w:p>
            <w:r>
              <w:rPr>
                <w:rFonts w:ascii="Times New Roman" w:hAnsi="Times New Roman"/>
                <w:sz w:val="28"/>
                <w:szCs w:val="28"/>
              </w:rPr>
              <w:t xml:space="preserve">Editor/write</w:t>
            </w:r>
          </w:p>
        </w:tc>
      </w:tr>
      <w:tr>
        <w:tc>
          <w:tcPr>
            <w:tcW w:w="3120" w:type="dxa"/>
          </w:tcPr>
          <w:p>
            <w:r>
              <w:rPr>
                <w:rFonts w:ascii="Times New Roman" w:hAnsi="Times New Roman"/>
                <w:sz w:val="28"/>
                <w:szCs w:val="28"/>
              </w:rPr>
              <w:t xml:space="preserve">Nhà đầu tư</w:t>
            </w:r>
          </w:p>
        </w:tc>
        <w:tc>
          <w:tcPr>
            <w:tcW w:w="3120" w:type="dxa"/>
          </w:tcPr>
          <w:p>
            <w:r>
              <w:rPr>
                <w:rFonts w:ascii="Times New Roman" w:hAnsi="Times New Roman"/>
                <w:sz w:val="28"/>
                <w:szCs w:val="28"/>
              </w:rPr>
              <w:t xml:space="preserve">Reports/investor</w:t>
            </w:r>
          </w:p>
        </w:tc>
        <w:tc>
          <w:tcPr>
            <w:tcW w:w="3120" w:type="dxa"/>
          </w:tcPr>
          <w:p>
            <w:r>
              <w:rPr>
                <w:rFonts w:ascii="Times New Roman" w:hAnsi="Times New Roman"/>
                <w:sz w:val="28"/>
                <w:szCs w:val="28"/>
              </w:rPr>
              <w:t xml:space="preserve">Viewer, restricted qua email</w:t>
            </w:r>
          </w:p>
        </w:tc>
      </w:tr>
      <w:tr>
        <w:tc>
          <w:tcPr>
            <w:tcW w:w="3120" w:type="dxa"/>
          </w:tcPr>
          <w:p>
            <w:r>
              <w:rPr>
                <w:rFonts w:ascii="Times New Roman" w:hAnsi="Times New Roman"/>
                <w:sz w:val="28"/>
                <w:szCs w:val="28"/>
              </w:rPr>
              <w:t xml:space="preserve">Nhà cung cấp</w:t>
            </w:r>
          </w:p>
        </w:tc>
        <w:tc>
          <w:tcPr>
            <w:tcW w:w="3120" w:type="dxa"/>
          </w:tcPr>
          <w:p>
            <w:r>
              <w:rPr>
                <w:rFonts w:ascii="Times New Roman" w:hAnsi="Times New Roman"/>
                <w:sz w:val="28"/>
                <w:szCs w:val="28"/>
              </w:rPr>
              <w:t xml:space="preserve">Reports/vendor-feedback</w:t>
            </w:r>
          </w:p>
        </w:tc>
        <w:tc>
          <w:tcPr>
            <w:tcW w:w="3120" w:type="dxa"/>
          </w:tcPr>
          <w:p>
            <w:r>
              <w:rPr>
                <w:rFonts w:ascii="Times New Roman" w:hAnsi="Times New Roman"/>
                <w:sz w:val="28"/>
                <w:szCs w:val="28"/>
              </w:rPr>
              <w:t xml:space="preserve">Commenter, restricted qua email</w:t>
            </w:r>
          </w:p>
        </w:tc>
      </w:tr>
    </w:tbl>
    <w:p>
      <w:r>
        <w:rPr>
          <w:rFonts w:ascii="Times New Roman" w:hAnsi="Times New Roman"/>
          <w:sz w:val="28"/>
          <w:szCs w:val="28"/>
        </w:rPr>
        <w:t xml:space="preserve">Channels:</w:t>
      </w:r>
    </w:p>
    <w:p>
      <w:pPr>
        <w:pStyle w:val="ListParagraph"/>
        <w:ind w:left="0"/>
      </w:pPr>
      <w:r>
        <w:rPr>
          <w:rFonts w:ascii="Times New Roman" w:hAnsi="Times New Roman"/>
          <w:sz w:val="28"/>
          <w:szCs w:val="28"/>
        </w:rPr>
        <w:t xml:space="preserve">#thong-bao: trưởng dự án đăng deadline và quyết định.</w:t>
      </w:r>
    </w:p>
    <w:p>
      <w:pPr>
        <w:pStyle w:val="ListParagraph"/>
        <w:ind w:left="0"/>
      </w:pPr>
      <w:r>
        <w:rPr>
          <w:rFonts w:ascii="Times New Roman" w:hAnsi="Times New Roman"/>
          <w:sz w:val="28"/>
          <w:szCs w:val="28"/>
        </w:rPr>
        <w:t xml:space="preserve">#dev-sensors: thảo luận kỹ thuật; trả lời trong thread.</w:t>
      </w:r>
    </w:p>
    <w:p>
      <w:pPr>
        <w:pStyle w:val="ListParagraph"/>
        <w:ind w:left="0"/>
      </w:pPr>
      <w:r>
        <w:rPr>
          <w:rFonts w:ascii="Times New Roman" w:hAnsi="Times New Roman"/>
          <w:sz w:val="28"/>
          <w:szCs w:val="28"/>
        </w:rPr>
        <w:t xml:space="preserve">#sensor-bugs: báo lỗi, chuyển tin nhắn thành task, gán người xử lý và deadline.</w:t>
      </w:r>
    </w:p>
    <w:p>
      <w:pPr>
        <w:pStyle w:val="Heading2"/>
      </w:pPr>
      <w:r>
        <w:rPr>
          <w:rFonts w:ascii="Times New Roman" w:hAnsi="Times New Roman"/>
          <w:sz w:val="28"/>
          <w:szCs w:val="28"/>
        </w:rPr>
        <w:t xml:space="preserve">5. Kiểm thử khôi phục sensors</w:t>
      </w:r>
    </w:p>
    <w:p>
      <w:r>
        <w:rPr>
          <w:rFonts w:ascii="Times New Roman" w:hAnsi="Times New Roman"/>
          <w:sz w:val="28"/>
          <w:szCs w:val="28"/>
        </w:rPr>
        <w:t xml:space="preserve">Dừng chỉnh sửa, rồi khôi phục thư mục từ cloud trash/recycle bin hoặc lấy lại mã từ git repository từ xa.</w:t>
      </w:r>
    </w:p>
    <w:p>
      <w:r>
        <w:rPr>
          <w:rFonts w:ascii="Times New Roman" w:hAnsi="Times New Roman"/>
          <w:sz w:val="28"/>
          <w:szCs w:val="28"/>
        </w:rPr>
        <w:t xml:space="preserve"> Kiểm tra nội dung và quyền truy cập, sau đó xác nhận đồng bộ hoàn tất.</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abstractNum>
  <w:abstractNum w:abstractNumId="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abstractNum>
  <w:num w:numId="1">
    <w:abstractNumId w:val="0"/>
  </w:num>
  <w:num w:numId="2">
    <w:abstractNumId w:val="1"/>
  </w:num>
  <w:num w:numId="3">
    <w:abstractNumId w:val="0"/>
    <w:lvlOverride w:ilvl="0">
      <w:startOverride w:val="1"/>
    </w:lvlOverride>
  </w:num>
</w:numbering>
</file>

<file path=word/styles.xml><?xml version="1.0" encoding="utf-8"?>
<w:styles xmlns:w="http://schemas.openxmlformats.org/wordprocessingml/2006/main">
  <w:docDefaults>
    <w:rPrDefault>
      <w:rPr>
        <w:rFonts w:ascii="Calibri" w:hAnsi="Calibri"/>
        <w:sz w:val="22"/>
        <w:szCs w:val="22"/>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spacing w:before="240" w:after="120"/>
      <w:outlineLvl w:val="0"/>
    </w:pPr>
    <w:rPr>
      <w:b/>
      <w:sz w:val="32"/>
      <w:szCs w:val="32"/>
    </w:rPr>
  </w:style>
  <w:style w:type="paragraph" w:styleId="Heading2">
    <w:name w:val="heading 2"/>
    <w:basedOn w:val="Normal"/>
    <w:next w:val="Normal"/>
    <w:uiPriority w:val="9"/>
    <w:qFormat/>
    <w:pPr>
      <w:keepNext/>
      <w:spacing w:before="240" w:after="120"/>
      <w:outlineLvl w:val="1"/>
    </w:pPr>
    <w:rPr>
      <w:b/>
      <w:sz w:val="28"/>
      <w:szCs w:val="28"/>
    </w:rPr>
  </w:style>
  <w:style w:type="paragraph" w:styleId="Heading3">
    <w:name w:val="heading 3"/>
    <w:basedOn w:val="Normal"/>
    <w:next w:val="Normal"/>
    <w:uiPriority w:val="9"/>
    <w:semiHidden/>
    <w:unhideWhenUsed/>
    <w:qFormat/>
    <w:pPr>
      <w:keepNext/>
      <w:spacing w:before="160" w:after="120"/>
      <w:outlineLvl w:val="2"/>
    </w:pPr>
    <w:rPr>
      <w:b/>
      <w:sz w:val="26"/>
      <w:szCs w:val="26"/>
    </w:rPr>
  </w:style>
  <w:style w:type="paragraph" w:styleId="Heading4">
    <w:name w:val="heading 4"/>
    <w:basedOn w:val="Normal"/>
    <w:next w:val="Normal"/>
    <w:uiPriority w:val="9"/>
    <w:semiHidden/>
    <w:unhideWhenUsed/>
    <w:qFormat/>
    <w:pPr>
      <w:keepNext/>
      <w:spacing w:before="160" w:after="120"/>
      <w:outlineLvl w:val="3"/>
    </w:pPr>
    <w:rPr>
      <w:b/>
      <w:sz w:val="24"/>
      <w:szCs w:val="24"/>
    </w:rPr>
  </w:style>
  <w:style w:type="paragraph" w:styleId="Heading5">
    <w:name w:val="heading 5"/>
    <w:basedOn w:val="Normal"/>
    <w:next w:val="Normal"/>
    <w:uiPriority w:val="9"/>
    <w:semiHidden/>
    <w:unhideWhenUsed/>
    <w:qFormat/>
    <w:pPr>
      <w:keepNext/>
      <w:spacing w:before="160" w:after="120"/>
      <w:outlineLvl w:val="4"/>
    </w:pPr>
    <w:rPr>
      <w:b/>
      <w:sz w:val="22"/>
      <w:szCs w:val="22"/>
    </w:rPr>
  </w:style>
  <w:style w:type="paragraph" w:styleId="Heading6">
    <w:name w:val="heading 6"/>
    <w:basedOn w:val="Normal"/>
    <w:next w:val="Normal"/>
    <w:uiPriority w:val="9"/>
    <w:semiHidden/>
    <w:unhideWhenUsed/>
    <w:qFormat/>
    <w:pPr>
      <w:keepNext/>
      <w:spacing w:before="160" w:after="120"/>
      <w:outlineLvl w:val="5"/>
    </w:pPr>
    <w:rPr>
      <w:b/>
      <w:sz w:val="22"/>
      <w:szCs w:val="22"/>
    </w:rPr>
  </w:style>
  <w:style w:type="paragraph" w:styleId="NoSpacing">
    <w:name w:val="No Spacing"/>
    <w:uiPriority w:val="1"/>
    <w:qFormat/>
    <w:pPr>
      <w:spacing w:after="0" w:line="240" w:lineRule="auto"/>
    </w:pPr>
  </w:style>
  <w:style w:type="paragraph" w:styleId="Title">
    <w:name w:val="Title"/>
    <w:basedOn w:val="Normal"/>
    <w:next w:val="Normal"/>
    <w:uiPriority w:val="10"/>
    <w:qFormat/>
    <w:pPr>
      <w:spacing w:after="80" w:line="240" w:lineRule="auto"/>
      <w:contextualSpacing/>
    </w:pPr>
    <w:rPr>
      <w:spacing w:val="-10"/>
      <w:kern w:val="28"/>
      <w:sz w:val="56"/>
      <w:szCs w:val="56"/>
    </w:rPr>
  </w:style>
  <w:style w:type="paragraph" w:styleId="Subtitle">
    <w:name w:val="Subtitle"/>
    <w:basedOn w:val="Normal"/>
    <w:next w:val="Normal"/>
    <w:uiPriority w:val="11"/>
    <w:qFormat/>
    <w:pPr>
      <w:spacing w:after="160"/>
    </w:pPr>
    <w:rPr>
      <w:color w:val="595959" w:themeColor="text1" w:themeTint="A6"/>
      <w:spacing w:val="15"/>
      <w:sz w:val="28"/>
      <w:szCs w:val="28"/>
    </w:rPr>
  </w:style>
  <w:style w:type="character" w:styleId="SubtleEmphasis">
    <w:name w:val="Subtle Emphasis"/>
    <w:uiPriority w:val="19"/>
    <w:qFormat/>
    <w:rPr>
      <w:i/>
      <w:iCs/>
      <w:color w:val="404040" w:themeColor="text1" w:themeTint="BF"/>
    </w:rPr>
  </w:style>
  <w:style w:type="character" w:styleId="Emphasis">
    <w:name w:val="Emphasis"/>
    <w:uiPriority w:val="20"/>
    <w:qFormat/>
    <w:rPr>
      <w:i/>
      <w:iCs/>
    </w:rPr>
  </w:style>
  <w:style w:type="character" w:styleId="IntenseEmphasis">
    <w:name w:val="Intense Emphasis"/>
    <w:uiPriority w:val="21"/>
    <w:qFormat/>
    <w:rPr>
      <w:i/>
      <w:iCs/>
      <w:color w:val="2F5496" w:themeColor="accent1" w:themeShade="BF"/>
    </w:rPr>
  </w:style>
  <w:style w:type="character" w:styleId="Strong">
    <w:name w:val="Strong"/>
    <w:uiPriority w:val="22"/>
    <w:qFormat/>
    <w:rPr>
      <w:b/>
      <w:bCs/>
    </w:rPr>
  </w:style>
  <w:style w:type="paragraph" w:styleId="Quote">
    <w:name w:val="Quote"/>
    <w:basedOn w:val="Normal"/>
    <w:next w:val="Normal"/>
    <w:uiPriority w:val="29"/>
    <w:qFormat/>
    <w:pPr>
      <w:spacing w:before="200" w:after="480"/>
      <w:jc w:val="center"/>
    </w:pPr>
    <w:rPr>
      <w:i/>
      <w:iCs/>
      <w:color w:val="404040" w:themeColor="text1" w:themeTint="BF"/>
    </w:rPr>
  </w:style>
  <w:style w:type="paragraph" w:styleId="IntenseQuote">
    <w:name w:val="Intense Quote"/>
    <w:basedOn w:val="Normal"/>
    <w:next w:val="Normal"/>
    <w:uiPriority w:val="30"/>
    <w:qFormat/>
    <w:pPr>
      <w:pBdr>
        <w:top w:val="single" w:sz="4" w:space="10" w:color="2F5496" w:themeColor="accent1" w:themeShade="BF"/>
        <w:bottom w:val="single" w:sz="4" w:space="10" w:color="2F5496" w:themeColor="accent1" w:themeShade="BF"/>
      </w:pBdr>
      <w:spacing w:before="360" w:after="440"/>
      <w:ind w:left="864" w:right="864"/>
      <w:jc w:val="center"/>
    </w:pPr>
    <w:rPr>
      <w:i/>
      <w:iCs/>
      <w:color w:val="2F5496" w:themeColor="accent1" w:themeShade="BF"/>
    </w:rPr>
  </w:style>
  <w:style w:type="character" w:styleId="SubtleReference">
    <w:name w:val="Subtle Reference"/>
    <w:uiPriority w:val="31"/>
    <w:qFormat/>
    <w:rPr>
      <w:smallCaps/>
      <w:color w:val="5A5A5A" w:themeColor="text1" w:themeTint="A5"/>
    </w:rPr>
  </w:style>
  <w:style w:type="character" w:styleId="IntenseReference">
    <w:name w:val="Intense Reference"/>
    <w:uiPriority w:val="32"/>
    <w:qFormat/>
    <w:rPr>
      <w:b/>
      <w:bCs/>
      <w:smallCaps/>
      <w:color w:val="2F5496" w:themeColor="accent1" w:themeShade="BF"/>
      <w:spacing w:val="5"/>
    </w:rPr>
  </w:style>
  <w:style w:type="character" w:styleId="BookTitle">
    <w:name w:val="Book Title"/>
    <w:uiPriority w:val="33"/>
    <w:qFormat/>
    <w:rPr>
      <w:b/>
      <w:bCs/>
      <w:i/>
      <w:iCs/>
      <w:spacing w:val="5"/>
    </w:rPr>
  </w:style>
  <w:style w:type="paragraph" w:styleId="ListParagraph">
    <w:name w:val="List Paragraph"/>
    <w:basedOn w:val="Normal"/>
    <w:uiPriority w:val="34"/>
    <w:qFormat/>
    <w:pPr>
      <w:ind w:left="720"/>
      <w:contextualSpacing/>
    </w:pPr>
  </w:style>
  <w:style w:type="character" w:styleId="Hyperlink">
    <w:name w:val="Hyperlink"/>
    <w:rPr>
      <w:color w:val="0563C1"/>
      <w:u w:val="single"/>
    </w:rPr>
  </w:style>
  <w:style w:type="paragraph" w:styleId="TOC1">
    <w:name w:val="toc 1"/>
    <w:basedOn w:val="Normal"/>
    <w:next w:val="Normal"/>
    <w:pPr>
      <w:spacing w:after="100"/>
    </w:pPr>
  </w:style>
  <w:style w:type="paragraph" w:styleId="TOC2">
    <w:name w:val="toc 2"/>
    <w:basedOn w:val="Normal"/>
    <w:next w:val="Normal"/>
    <w:pPr>
      <w:spacing w:after="100"/>
      <w:ind w:left="220"/>
    </w:pPr>
  </w:style>
  <w:style w:type="paragraph" w:styleId="TOC3">
    <w:name w:val="toc 3"/>
    <w:basedOn w:val="Normal"/>
    <w:next w:val="Normal"/>
    <w:pPr>
      <w:spacing w:after="100"/>
      <w:ind w:left="440"/>
    </w:pPr>
  </w:style>
  <w:style w:type="paragraph" w:styleId="TOC4">
    <w:name w:val="toc 4"/>
    <w:basedOn w:val="Normal"/>
    <w:next w:val="Normal"/>
    <w:pPr>
      <w:spacing w:after="100"/>
      <w:ind w:left="660"/>
    </w:pPr>
  </w:style>
  <w:style w:type="paragraph" w:styleId="TOC5">
    <w:name w:val="toc 5"/>
    <w:basedOn w:val="Normal"/>
    <w:next w:val="Normal"/>
    <w:pPr>
      <w:spacing w:after="100"/>
      <w:ind w:left="880"/>
    </w:pPr>
  </w:style>
  <w:style w:type="paragraph" w:styleId="TOC6">
    <w:name w:val="toc 6"/>
    <w:basedOn w:val="Normal"/>
    <w:next w:val="Normal"/>
    <w:pPr>
      <w:spacing w:after="100"/>
      <w:ind w:left="1100"/>
    </w:pPr>
  </w:style>
  <w:style w:type="paragraph" w:styleId="TOC7">
    <w:name w:val="toc 7"/>
    <w:basedOn w:val="Normal"/>
    <w:next w:val="Normal"/>
    <w:pPr>
      <w:spacing w:after="100"/>
      <w:ind w:left="1320"/>
    </w:pPr>
  </w:style>
  <w:style w:type="paragraph" w:styleId="TOC8">
    <w:name w:val="toc 8"/>
    <w:basedOn w:val="Normal"/>
    <w:next w:val="Normal"/>
    <w:pPr>
      <w:spacing w:after="100"/>
      <w:ind w:left="1540"/>
    </w:pPr>
  </w:style>
  <w:style w:type="paragraph" w:styleId="TOC9">
    <w:name w:val="toc 9"/>
    <w:basedOn w:val="Normal"/>
    <w:next w:val="Normal"/>
    <w:pPr>
      <w:spacing w:after="100"/>
      <w:ind w:left="176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