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ilip4evfrw1r" w:id="0"/>
      <w:bookmarkEnd w:id="0"/>
      <w:r w:rsidDel="00000000" w:rsidR="00000000" w:rsidRPr="00000000">
        <w:rPr>
          <w:rtl w:val="0"/>
        </w:rPr>
        <w:t xml:space="preserve">Biolayer Interferometry: Pho4 DBD and 17bp oligo ligand</w:t>
      </w:r>
    </w:p>
    <w:p w:rsidR="00000000" w:rsidDel="00000000" w:rsidP="00000000" w:rsidRDefault="00000000" w:rsidRPr="00000000" w14:paraId="00000002">
      <w:pPr>
        <w:pageBreakBefore w:val="0"/>
        <w:rPr/>
      </w:pPr>
      <w:r w:rsidDel="00000000" w:rsidR="00000000" w:rsidRPr="00000000">
        <w:rPr>
          <w:rtl w:val="0"/>
        </w:rPr>
        <w:t xml:space="preserve">Bin He, 2021-02-05</w:t>
      </w:r>
    </w:p>
    <w:p w:rsidR="00000000" w:rsidDel="00000000" w:rsidP="00000000" w:rsidRDefault="00000000" w:rsidRPr="00000000" w14:paraId="00000003">
      <w:pPr>
        <w:pStyle w:val="Heading2"/>
        <w:pageBreakBefore w:val="0"/>
        <w:rPr/>
      </w:pPr>
      <w:bookmarkStart w:colFirst="0" w:colLast="0" w:name="_wjxjn6w8trqe" w:id="1"/>
      <w:bookmarkEnd w:id="1"/>
      <w:r w:rsidDel="00000000" w:rsidR="00000000" w:rsidRPr="00000000">
        <w:rPr>
          <w:rtl w:val="0"/>
        </w:rPr>
        <w:t xml:space="preserve">Overview</w:t>
      </w:r>
    </w:p>
    <w:p w:rsidR="00000000" w:rsidDel="00000000" w:rsidP="00000000" w:rsidRDefault="00000000" w:rsidRPr="00000000" w14:paraId="00000004">
      <w:pPr>
        <w:pageBreakBefore w:val="0"/>
        <w:numPr>
          <w:ilvl w:val="0"/>
          <w:numId w:val="5"/>
        </w:numPr>
        <w:ind w:left="720" w:hanging="360"/>
        <w:rPr>
          <w:u w:val="none"/>
        </w:rPr>
      </w:pPr>
      <w:r w:rsidDel="00000000" w:rsidR="00000000" w:rsidRPr="00000000">
        <w:rPr>
          <w:rtl w:val="0"/>
        </w:rPr>
        <w:t xml:space="preserve">The purpose of this protocol is to describe the steps used to analyze the Octet data to estimate dissociation constants between protein-DNA binding.</w:t>
      </w:r>
    </w:p>
    <w:p w:rsidR="00000000" w:rsidDel="00000000" w:rsidP="00000000" w:rsidRDefault="00000000" w:rsidRPr="00000000" w14:paraId="00000005">
      <w:pPr>
        <w:pStyle w:val="Heading2"/>
        <w:pageBreakBefore w:val="0"/>
        <w:rPr/>
      </w:pPr>
      <w:bookmarkStart w:colFirst="0" w:colLast="0" w:name="_qm58c5pfm4bt" w:id="2"/>
      <w:bookmarkEnd w:id="2"/>
      <w:r w:rsidDel="00000000" w:rsidR="00000000" w:rsidRPr="00000000">
        <w:rPr>
          <w:rtl w:val="0"/>
        </w:rPr>
        <w:t xml:space="preserve">Reference</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Data Analysis Octet, User Guide v11, stored on RDSS/Shared/Instrument/Octet.</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Forte Bio Application Note 14, stored at the same place as above.</w:t>
      </w:r>
    </w:p>
    <w:p w:rsidR="00000000" w:rsidDel="00000000" w:rsidP="00000000" w:rsidRDefault="00000000" w:rsidRPr="00000000" w14:paraId="00000008">
      <w:pPr>
        <w:pStyle w:val="Heading2"/>
        <w:pageBreakBefore w:val="0"/>
        <w:rPr/>
      </w:pPr>
      <w:bookmarkStart w:colFirst="0" w:colLast="0" w:name="_p2o4amfuv9hn" w:id="3"/>
      <w:bookmarkEnd w:id="3"/>
      <w:r w:rsidDel="00000000" w:rsidR="00000000" w:rsidRPr="00000000">
        <w:rPr>
          <w:rtl w:val="0"/>
        </w:rPr>
        <w:t xml:space="preserve">Software</w:t>
      </w:r>
    </w:p>
    <w:p w:rsidR="00000000" w:rsidDel="00000000" w:rsidP="00000000" w:rsidRDefault="00000000" w:rsidRPr="00000000" w14:paraId="00000009">
      <w:pPr>
        <w:pageBreakBefore w:val="0"/>
        <w:rPr/>
      </w:pPr>
      <w:r w:rsidDel="00000000" w:rsidR="00000000" w:rsidRPr="00000000">
        <w:rPr>
          <w:rtl w:val="0"/>
        </w:rPr>
        <w:t xml:space="preserve">Data Analysis version 11.1.0.4, by Forte Bio</w:t>
      </w:r>
      <w:r w:rsidDel="00000000" w:rsidR="00000000" w:rsidRPr="00000000">
        <w:rPr>
          <w:rtl w:val="0"/>
        </w:rPr>
      </w:r>
    </w:p>
    <w:p w:rsidR="00000000" w:rsidDel="00000000" w:rsidP="00000000" w:rsidRDefault="00000000" w:rsidRPr="00000000" w14:paraId="0000000A">
      <w:pPr>
        <w:pStyle w:val="Heading2"/>
        <w:pageBreakBefore w:val="0"/>
        <w:rPr/>
      </w:pPr>
      <w:bookmarkStart w:colFirst="0" w:colLast="0" w:name="_kkxoh3ggvzxa" w:id="4"/>
      <w:bookmarkEnd w:id="4"/>
      <w:r w:rsidDel="00000000" w:rsidR="00000000" w:rsidRPr="00000000">
        <w:rPr>
          <w:rtl w:val="0"/>
        </w:rPr>
        <w:t xml:space="preserve">Protocol:</w:t>
      </w:r>
    </w:p>
    <w:p w:rsidR="00000000" w:rsidDel="00000000" w:rsidP="00000000" w:rsidRDefault="00000000" w:rsidRPr="00000000" w14:paraId="0000000B">
      <w:pPr>
        <w:pStyle w:val="Heading3"/>
        <w:pageBreakBefore w:val="0"/>
        <w:spacing w:before="120" w:lineRule="auto"/>
        <w:rPr>
          <w:b w:val="1"/>
          <w:sz w:val="24"/>
          <w:szCs w:val="24"/>
        </w:rPr>
      </w:pPr>
      <w:bookmarkStart w:colFirst="0" w:colLast="0" w:name="_uu5w04bp4157" w:id="5"/>
      <w:bookmarkEnd w:id="5"/>
      <w:r w:rsidDel="00000000" w:rsidR="00000000" w:rsidRPr="00000000">
        <w:rPr>
          <w:b w:val="1"/>
          <w:sz w:val="24"/>
          <w:szCs w:val="24"/>
          <w:rtl w:val="0"/>
        </w:rPr>
        <w:t xml:space="preserve">Opening data for analysis</w:t>
      </w:r>
    </w:p>
    <w:p w:rsidR="00000000" w:rsidDel="00000000" w:rsidP="00000000" w:rsidRDefault="00000000" w:rsidRPr="00000000" w14:paraId="0000000C">
      <w:pPr>
        <w:pageBreakBefore w:val="0"/>
        <w:rPr/>
      </w:pPr>
      <w:r w:rsidDel="00000000" w:rsidR="00000000" w:rsidRPr="00000000">
        <w:rPr>
          <w:rtl w:val="0"/>
        </w:rPr>
        <w:t xml:space="preserve">See reference 1 above.</w:t>
      </w:r>
      <w:r w:rsidDel="00000000" w:rsidR="00000000" w:rsidRPr="00000000">
        <w:rPr>
          <w:rtl w:val="0"/>
        </w:rPr>
      </w:r>
    </w:p>
    <w:p w:rsidR="00000000" w:rsidDel="00000000" w:rsidP="00000000" w:rsidRDefault="00000000" w:rsidRPr="00000000" w14:paraId="0000000D">
      <w:pPr>
        <w:pStyle w:val="Heading3"/>
        <w:pageBreakBefore w:val="0"/>
        <w:rPr/>
      </w:pPr>
      <w:bookmarkStart w:colFirst="0" w:colLast="0" w:name="_qrxn79w0upja" w:id="6"/>
      <w:bookmarkEnd w:id="6"/>
      <w:r w:rsidDel="00000000" w:rsidR="00000000" w:rsidRPr="00000000">
        <w:rPr>
          <w:rtl w:val="0"/>
        </w:rPr>
        <w:t xml:space="preserve">Sensor selection</w:t>
      </w:r>
    </w:p>
    <w:p w:rsidR="00000000" w:rsidDel="00000000" w:rsidP="00000000" w:rsidRDefault="00000000" w:rsidRPr="00000000" w14:paraId="0000000E">
      <w:pPr>
        <w:pageBreakBefore w:val="0"/>
        <w:rPr/>
      </w:pPr>
      <w:r w:rsidDel="00000000" w:rsidR="00000000" w:rsidRPr="00000000">
        <w:rPr>
          <w:rtl w:val="0"/>
        </w:rPr>
        <w:t xml:space="preserve">See reference 1 above. Used to exclude certain sensors for future analysis.</w:t>
      </w:r>
      <w:r w:rsidDel="00000000" w:rsidR="00000000" w:rsidRPr="00000000">
        <w:rPr>
          <w:rtl w:val="0"/>
        </w:rPr>
      </w:r>
    </w:p>
    <w:p w:rsidR="00000000" w:rsidDel="00000000" w:rsidP="00000000" w:rsidRDefault="00000000" w:rsidRPr="00000000" w14:paraId="0000000F">
      <w:pPr>
        <w:pStyle w:val="Heading3"/>
        <w:pageBreakBefore w:val="0"/>
        <w:rPr/>
      </w:pPr>
      <w:bookmarkStart w:colFirst="0" w:colLast="0" w:name="_2jdnw9ef8tzy" w:id="7"/>
      <w:bookmarkEnd w:id="7"/>
      <w:r w:rsidDel="00000000" w:rsidR="00000000" w:rsidRPr="00000000">
        <w:rPr>
          <w:rtl w:val="0"/>
        </w:rPr>
        <w:t xml:space="preserve">Processing data</w:t>
      </w:r>
    </w:p>
    <w:p w:rsidR="00000000" w:rsidDel="00000000" w:rsidP="00000000" w:rsidRDefault="00000000" w:rsidRPr="00000000" w14:paraId="00000010">
      <w:pPr>
        <w:pageBreakBefore w:val="0"/>
        <w:numPr>
          <w:ilvl w:val="0"/>
          <w:numId w:val="4"/>
        </w:numPr>
        <w:spacing w:after="120" w:line="240" w:lineRule="auto"/>
        <w:ind w:left="720" w:hanging="360"/>
        <w:rPr>
          <w:u w:val="none"/>
        </w:rPr>
      </w:pPr>
      <w:r w:rsidDel="00000000" w:rsidR="00000000" w:rsidRPr="00000000">
        <w:rPr>
          <w:i w:val="1"/>
          <w:u w:val="single"/>
          <w:rtl w:val="0"/>
        </w:rPr>
        <w:t xml:space="preserve">Choose reference sensor</w:t>
      </w:r>
      <w:r w:rsidDel="00000000" w:rsidR="00000000" w:rsidRPr="00000000">
        <w:rPr>
          <w:u w:val="single"/>
          <w:rtl w:val="0"/>
        </w:rPr>
        <w:br w:type="textWrapping"/>
      </w:r>
      <w:r w:rsidDel="00000000" w:rsidR="00000000" w:rsidRPr="00000000">
        <w:rPr>
          <w:rtl w:val="0"/>
        </w:rPr>
        <w:t xml:space="preserve">The goal is to subtract the background using a reference sensor that moved in parallel with all other sensors, but was dipped into a solution of 1x KB instead of the analyte (protein) solution. In the data acquisition software during the setup stage, the user should have specified one of the wells to be a reference rather than sample. When you click the “Sensor Selection” radial button on the top left of the “Processing” tab, diagrams of both the sensor tray and the sample plate will show up on the right, and the well that was designated as reference will have a checkbox next to the row ID, e.g. A. Click that.</w:t>
      </w:r>
    </w:p>
    <w:p w:rsidR="00000000" w:rsidDel="00000000" w:rsidP="00000000" w:rsidRDefault="00000000" w:rsidRPr="00000000" w14:paraId="00000011">
      <w:pPr>
        <w:pageBreakBefore w:val="0"/>
        <w:numPr>
          <w:ilvl w:val="0"/>
          <w:numId w:val="4"/>
        </w:numPr>
        <w:spacing w:after="120" w:line="240" w:lineRule="auto"/>
        <w:ind w:left="720" w:hanging="360"/>
        <w:rPr>
          <w:u w:val="none"/>
        </w:rPr>
      </w:pPr>
      <w:r w:rsidDel="00000000" w:rsidR="00000000" w:rsidRPr="00000000">
        <w:rPr>
          <w:i w:val="1"/>
          <w:u w:val="single"/>
          <w:rtl w:val="0"/>
        </w:rPr>
        <w:t xml:space="preserve">Subtraction</w:t>
      </w:r>
      <w:r w:rsidDel="00000000" w:rsidR="00000000" w:rsidRPr="00000000">
        <w:rPr>
          <w:rtl w:val="0"/>
        </w:rPr>
        <w:br w:type="textWrapping"/>
        <w:t xml:space="preserve">Click the checkbox and choose reference well.</w:t>
      </w:r>
    </w:p>
    <w:p w:rsidR="00000000" w:rsidDel="00000000" w:rsidP="00000000" w:rsidRDefault="00000000" w:rsidRPr="00000000" w14:paraId="00000012">
      <w:pPr>
        <w:pageBreakBefore w:val="0"/>
        <w:numPr>
          <w:ilvl w:val="0"/>
          <w:numId w:val="4"/>
        </w:numPr>
        <w:spacing w:after="120" w:line="240" w:lineRule="auto"/>
        <w:ind w:left="720" w:hanging="360"/>
        <w:rPr>
          <w:u w:val="none"/>
        </w:rPr>
      </w:pPr>
      <w:r w:rsidDel="00000000" w:rsidR="00000000" w:rsidRPr="00000000">
        <w:rPr>
          <w:i w:val="1"/>
          <w:u w:val="single"/>
          <w:rtl w:val="0"/>
        </w:rPr>
        <w:t xml:space="preserve">Align Y-axis</w:t>
      </w:r>
      <w:r w:rsidDel="00000000" w:rsidR="00000000" w:rsidRPr="00000000">
        <w:rPr>
          <w:rtl w:val="0"/>
        </w:rPr>
        <w:br w:type="textWrapping"/>
        <w:t xml:space="preserve">The goal of this step is to align all traces to the same starting point to enable steady state curve fitting -- due to sensor-to-sensor variation and stochasticity in the baseline, loading and blocking steps, not all sensors will start from the same y-value at the start of the association phase. We typically choose </w:t>
      </w:r>
      <w:r w:rsidDel="00000000" w:rsidR="00000000" w:rsidRPr="00000000">
        <w:rPr>
          <w:b w:val="1"/>
          <w:rtl w:val="0"/>
        </w:rPr>
        <w:t xml:space="preserve">Baseline</w:t>
      </w:r>
      <w:r w:rsidDel="00000000" w:rsidR="00000000" w:rsidRPr="00000000">
        <w:rPr>
          <w:rtl w:val="0"/>
        </w:rPr>
        <w:t xml:space="preserve">, and set the time window such that it extends for about 3-5 seconds towards the end of the last baseline step, but doesn’t go right into the end. For example, if the last baseline step lasts for 40 seconds, we can set the time window to be </w:t>
      </w:r>
      <w:r w:rsidDel="00000000" w:rsidR="00000000" w:rsidRPr="00000000">
        <w:rPr>
          <w:b w:val="1"/>
          <w:rtl w:val="0"/>
        </w:rPr>
        <w:t xml:space="preserve">35-38</w:t>
      </w:r>
      <w:r w:rsidDel="00000000" w:rsidR="00000000" w:rsidRPr="00000000">
        <w:rPr>
          <w:rtl w:val="0"/>
        </w:rPr>
        <w:t xml:space="preserve">. The reason for this is because right at the transition between the baseline and the association, there could be jumps in the signal due to the time delay as the instrument physically moves the sensors from the buffer to the analyte wells.</w:t>
      </w:r>
    </w:p>
    <w:p w:rsidR="00000000" w:rsidDel="00000000" w:rsidP="00000000" w:rsidRDefault="00000000" w:rsidRPr="00000000" w14:paraId="00000013">
      <w:pPr>
        <w:pageBreakBefore w:val="0"/>
        <w:numPr>
          <w:ilvl w:val="0"/>
          <w:numId w:val="4"/>
        </w:numPr>
        <w:spacing w:after="120" w:line="240" w:lineRule="auto"/>
        <w:ind w:left="720" w:hanging="360"/>
        <w:rPr>
          <w:u w:val="none"/>
        </w:rPr>
      </w:pPr>
      <w:r w:rsidDel="00000000" w:rsidR="00000000" w:rsidRPr="00000000">
        <w:rPr>
          <w:i w:val="1"/>
          <w:u w:val="single"/>
          <w:rtl w:val="0"/>
        </w:rPr>
        <w:t xml:space="preserve">Interstep correction (optional)</w:t>
      </w:r>
      <w:r w:rsidDel="00000000" w:rsidR="00000000" w:rsidRPr="00000000">
        <w:rPr>
          <w:rtl w:val="0"/>
        </w:rPr>
        <w:br w:type="textWrapping"/>
        <w:t xml:space="preserve">The goal of this step is to correct misalignment between two steps, e.g. baseline and association, due to system artifacts (perhaps due to the movement of the sensors).</w:t>
      </w:r>
    </w:p>
    <w:p w:rsidR="00000000" w:rsidDel="00000000" w:rsidP="00000000" w:rsidRDefault="00000000" w:rsidRPr="00000000" w14:paraId="00000014">
      <w:pPr>
        <w:pageBreakBefore w:val="0"/>
        <w:numPr>
          <w:ilvl w:val="1"/>
          <w:numId w:val="4"/>
        </w:numPr>
        <w:spacing w:after="80" w:line="240" w:lineRule="auto"/>
        <w:ind w:left="1440" w:hanging="360"/>
        <w:rPr>
          <w:u w:val="none"/>
        </w:rPr>
      </w:pPr>
      <w:r w:rsidDel="00000000" w:rsidR="00000000" w:rsidRPr="00000000">
        <w:rPr>
          <w:rtl w:val="0"/>
        </w:rPr>
        <w:t xml:space="preserve">For the most effective correction, the dissociation and the baseline steps of an assay must be performed in the same microplate well.</w:t>
      </w:r>
    </w:p>
    <w:p w:rsidR="00000000" w:rsidDel="00000000" w:rsidP="00000000" w:rsidRDefault="00000000" w:rsidRPr="00000000" w14:paraId="00000015">
      <w:pPr>
        <w:pageBreakBefore w:val="0"/>
        <w:numPr>
          <w:ilvl w:val="1"/>
          <w:numId w:val="4"/>
        </w:numPr>
        <w:spacing w:after="80" w:line="240" w:lineRule="auto"/>
        <w:ind w:left="1440" w:hanging="360"/>
        <w:rPr>
          <w:u w:val="none"/>
        </w:rPr>
      </w:pPr>
      <w:r w:rsidDel="00000000" w:rsidR="00000000" w:rsidRPr="00000000">
        <w:rPr>
          <w:rtl w:val="0"/>
        </w:rPr>
        <w:t xml:space="preserve">Interstep correction is </w:t>
      </w:r>
      <w:r w:rsidDel="00000000" w:rsidR="00000000" w:rsidRPr="00000000">
        <w:rPr>
          <w:i w:val="1"/>
          <w:rtl w:val="0"/>
        </w:rPr>
        <w:t xml:space="preserve">not</w:t>
      </w:r>
      <w:r w:rsidDel="00000000" w:rsidR="00000000" w:rsidRPr="00000000">
        <w:rPr>
          <w:rtl w:val="0"/>
        </w:rPr>
        <w:t xml:space="preserve"> recommended for very fast kinetics, because some kinetic information may be lost.</w:t>
      </w:r>
    </w:p>
    <w:p w:rsidR="00000000" w:rsidDel="00000000" w:rsidP="00000000" w:rsidRDefault="00000000" w:rsidRPr="00000000" w14:paraId="00000016">
      <w:pPr>
        <w:pageBreakBefore w:val="0"/>
        <w:numPr>
          <w:ilvl w:val="1"/>
          <w:numId w:val="7"/>
        </w:numPr>
        <w:spacing w:after="120" w:line="240" w:lineRule="auto"/>
        <w:ind w:left="1440" w:hanging="360"/>
        <w:rPr>
          <w:u w:val="none"/>
        </w:rPr>
      </w:pPr>
      <w:r w:rsidDel="00000000" w:rsidR="00000000" w:rsidRPr="00000000">
        <w:rPr>
          <w:rtl w:val="0"/>
        </w:rPr>
        <w:t xml:space="preserve">For our purpose we use “</w:t>
      </w:r>
      <w:r w:rsidDel="00000000" w:rsidR="00000000" w:rsidRPr="00000000">
        <w:rPr>
          <w:b w:val="1"/>
          <w:rtl w:val="0"/>
        </w:rPr>
        <w:t xml:space="preserve">Align to dissociation</w:t>
      </w:r>
      <w:r w:rsidDel="00000000" w:rsidR="00000000" w:rsidRPr="00000000">
        <w:rPr>
          <w:rtl w:val="0"/>
        </w:rPr>
        <w:t xml:space="preserve">” to correct for jumps in the signal at the beginning of the dissociation phase. This is only important if we are going to do kinetics fitting rather than steady state fits.</w:t>
      </w:r>
    </w:p>
    <w:p w:rsidR="00000000" w:rsidDel="00000000" w:rsidP="00000000" w:rsidRDefault="00000000" w:rsidRPr="00000000" w14:paraId="00000017">
      <w:pPr>
        <w:pStyle w:val="Heading3"/>
        <w:pageBreakBefore w:val="0"/>
        <w:spacing w:after="120" w:line="240" w:lineRule="auto"/>
        <w:rPr/>
      </w:pPr>
      <w:bookmarkStart w:colFirst="0" w:colLast="0" w:name="_cuvelm3qxnk4" w:id="8"/>
      <w:bookmarkEnd w:id="8"/>
      <w:r w:rsidDel="00000000" w:rsidR="00000000" w:rsidRPr="00000000">
        <w:rPr>
          <w:rtl w:val="0"/>
        </w:rPr>
        <w:t xml:space="preserve">Kinetic analysis</w:t>
      </w:r>
    </w:p>
    <w:p w:rsidR="00000000" w:rsidDel="00000000" w:rsidP="00000000" w:rsidRDefault="00000000" w:rsidRPr="00000000" w14:paraId="00000018">
      <w:pPr>
        <w:pageBreakBefore w:val="0"/>
        <w:rPr/>
      </w:pPr>
      <w:r w:rsidDel="00000000" w:rsidR="00000000" w:rsidRPr="00000000">
        <w:rPr>
          <w:rtl w:val="0"/>
        </w:rPr>
        <w:t xml:space="preserve">There are two types of kinetic analyses:</w:t>
      </w:r>
    </w:p>
    <w:p w:rsidR="00000000" w:rsidDel="00000000" w:rsidP="00000000" w:rsidRDefault="00000000" w:rsidRPr="00000000" w14:paraId="00000019">
      <w:pPr>
        <w:pageBreakBefore w:val="0"/>
        <w:numPr>
          <w:ilvl w:val="0"/>
          <w:numId w:val="6"/>
        </w:numPr>
        <w:ind w:left="720" w:hanging="360"/>
        <w:rPr>
          <w:u w:val="none"/>
        </w:rPr>
      </w:pPr>
      <w:r w:rsidDel="00000000" w:rsidR="00000000" w:rsidRPr="00000000">
        <w:rPr>
          <w:rtl w:val="0"/>
        </w:rPr>
        <w:t xml:space="preserve">Curve fitting: determines </w:t>
      </w:r>
      <w:r w:rsidDel="00000000" w:rsidR="00000000" w:rsidRPr="00000000">
        <w:rPr>
          <w:i w:val="1"/>
          <w:rtl w:val="0"/>
        </w:rPr>
        <w:t xml:space="preserve">k</w:t>
      </w:r>
      <w:r w:rsidDel="00000000" w:rsidR="00000000" w:rsidRPr="00000000">
        <w:rPr>
          <w:i w:val="1"/>
          <w:vertAlign w:val="subscript"/>
          <w:rtl w:val="0"/>
        </w:rPr>
        <w:t xml:space="preserve">on</w:t>
      </w:r>
      <w:r w:rsidDel="00000000" w:rsidR="00000000" w:rsidRPr="00000000">
        <w:rPr>
          <w:i w:val="1"/>
          <w:rtl w:val="0"/>
        </w:rPr>
        <w:t xml:space="preserve">, k</w:t>
      </w:r>
      <w:r w:rsidDel="00000000" w:rsidR="00000000" w:rsidRPr="00000000">
        <w:rPr>
          <w:i w:val="1"/>
          <w:vertAlign w:val="subscript"/>
          <w:rtl w:val="0"/>
        </w:rPr>
        <w:t xml:space="preserve">off</w:t>
      </w:r>
      <w:r w:rsidDel="00000000" w:rsidR="00000000" w:rsidRPr="00000000">
        <w:rPr>
          <w:rtl w:val="0"/>
        </w:rPr>
        <w:t xml:space="preserve"> and </w:t>
      </w:r>
      <w:r w:rsidDel="00000000" w:rsidR="00000000" w:rsidRPr="00000000">
        <w:rPr>
          <w:i w:val="1"/>
          <w:rtl w:val="0"/>
        </w:rPr>
        <w:t xml:space="preserve">K</w:t>
      </w:r>
      <w:r w:rsidDel="00000000" w:rsidR="00000000" w:rsidRPr="00000000">
        <w:rPr>
          <w:i w:val="1"/>
          <w:vertAlign w:val="subscript"/>
          <w:rtl w:val="0"/>
        </w:rPr>
        <w:t xml:space="preserve">D</w:t>
      </w:r>
      <w:r w:rsidDel="00000000" w:rsidR="00000000" w:rsidRPr="00000000">
        <w:rPr>
          <w:vertAlign w:val="subscript"/>
          <w:rtl w:val="0"/>
        </w:rPr>
        <w:t xml:space="preserve"> </w:t>
      </w:r>
      <w:r w:rsidDel="00000000" w:rsidR="00000000" w:rsidRPr="00000000">
        <w:rPr>
          <w:rtl w:val="0"/>
        </w:rPr>
        <w:t xml:space="preserve">by fitting the data to a specific binding model.</w:t>
      </w:r>
    </w:p>
    <w:p w:rsidR="00000000" w:rsidDel="00000000" w:rsidP="00000000" w:rsidRDefault="00000000" w:rsidRPr="00000000" w14:paraId="0000001A">
      <w:pPr>
        <w:pageBreakBefore w:val="0"/>
        <w:numPr>
          <w:ilvl w:val="0"/>
          <w:numId w:val="6"/>
        </w:numPr>
        <w:ind w:left="720" w:hanging="360"/>
        <w:rPr>
          <w:u w:val="none"/>
        </w:rPr>
      </w:pPr>
      <w:r w:rsidDel="00000000" w:rsidR="00000000" w:rsidRPr="00000000">
        <w:rPr>
          <w:rtl w:val="0"/>
        </w:rPr>
        <w:t xml:space="preserve">Steady state: determines the dissociation constant </w:t>
      </w:r>
      <w:r w:rsidDel="00000000" w:rsidR="00000000" w:rsidRPr="00000000">
        <w:rPr>
          <w:i w:val="1"/>
          <w:rtl w:val="0"/>
        </w:rPr>
        <w:t xml:space="preserve">K</w:t>
      </w:r>
      <w:r w:rsidDel="00000000" w:rsidR="00000000" w:rsidRPr="00000000">
        <w:rPr>
          <w:i w:val="1"/>
          <w:vertAlign w:val="subscript"/>
          <w:rtl w:val="0"/>
        </w:rPr>
        <w:t xml:space="preserve">D</w:t>
      </w:r>
      <w:r w:rsidDel="00000000" w:rsidR="00000000" w:rsidRPr="00000000">
        <w:rPr>
          <w:rtl w:val="0"/>
        </w:rPr>
        <w:t xml:space="preserve"> from the calculated or measured equilibrium response.</w:t>
      </w:r>
    </w:p>
    <w:p w:rsidR="00000000" w:rsidDel="00000000" w:rsidP="00000000" w:rsidRDefault="00000000" w:rsidRPr="00000000" w14:paraId="0000001B">
      <w:pPr>
        <w:pStyle w:val="Heading4"/>
        <w:pageBreakBefore w:val="0"/>
        <w:rPr/>
      </w:pPr>
      <w:bookmarkStart w:colFirst="0" w:colLast="0" w:name="_lzblvkuo66p5" w:id="9"/>
      <w:bookmarkEnd w:id="9"/>
      <w:r w:rsidDel="00000000" w:rsidR="00000000" w:rsidRPr="00000000">
        <w:rPr>
          <w:rtl w:val="0"/>
        </w:rPr>
        <w:t xml:space="preserve">Curve fitting</w:t>
      </w:r>
    </w:p>
    <w:p w:rsidR="00000000" w:rsidDel="00000000" w:rsidP="00000000" w:rsidRDefault="00000000" w:rsidRPr="00000000" w14:paraId="0000001C">
      <w:pPr>
        <w:pageBreakBefore w:val="0"/>
        <w:numPr>
          <w:ilvl w:val="0"/>
          <w:numId w:val="3"/>
        </w:numPr>
        <w:ind w:left="720" w:hanging="360"/>
        <w:rPr>
          <w:u w:val="none"/>
        </w:rPr>
      </w:pPr>
      <w:r w:rsidDel="00000000" w:rsidR="00000000" w:rsidRPr="00000000">
        <w:rPr>
          <w:i w:val="1"/>
          <w:u w:val="single"/>
          <w:rtl w:val="0"/>
        </w:rPr>
        <w:t xml:space="preserve">Choose steps to analyze</w:t>
      </w:r>
      <w:r w:rsidDel="00000000" w:rsidR="00000000" w:rsidRPr="00000000">
        <w:rPr>
          <w:rtl w:val="0"/>
        </w:rPr>
      </w:r>
    </w:p>
    <w:p w:rsidR="00000000" w:rsidDel="00000000" w:rsidP="00000000" w:rsidRDefault="00000000" w:rsidRPr="00000000" w14:paraId="0000001D">
      <w:pPr>
        <w:pageBreakBefore w:val="0"/>
        <w:numPr>
          <w:ilvl w:val="1"/>
          <w:numId w:val="3"/>
        </w:numPr>
        <w:ind w:left="1170" w:hanging="360"/>
        <w:rPr>
          <w:u w:val="none"/>
        </w:rPr>
      </w:pPr>
      <w:r w:rsidDel="00000000" w:rsidR="00000000" w:rsidRPr="00000000">
        <w:rPr>
          <w:color w:val="0000ff"/>
          <w:rtl w:val="0"/>
        </w:rPr>
        <w:t xml:space="preserve">Association only</w:t>
      </w:r>
      <w:r w:rsidDel="00000000" w:rsidR="00000000" w:rsidRPr="00000000">
        <w:rPr>
          <w:rtl w:val="0"/>
        </w:rPr>
        <w:t xml:space="preserve">: generates </w:t>
      </w:r>
      <w:r w:rsidDel="00000000" w:rsidR="00000000" w:rsidRPr="00000000">
        <w:rPr>
          <w:i w:val="1"/>
          <w:rtl w:val="0"/>
        </w:rPr>
        <w:t xml:space="preserve">k</w:t>
      </w:r>
      <w:r w:rsidDel="00000000" w:rsidR="00000000" w:rsidRPr="00000000">
        <w:rPr>
          <w:i w:val="1"/>
          <w:vertAlign w:val="subscript"/>
          <w:rtl w:val="0"/>
        </w:rPr>
        <w:t xml:space="preserve">obs</w:t>
      </w:r>
      <w:r w:rsidDel="00000000" w:rsidR="00000000" w:rsidRPr="00000000">
        <w:rPr>
          <w:rtl w:val="0"/>
        </w:rPr>
      </w:r>
    </w:p>
    <w:p w:rsidR="00000000" w:rsidDel="00000000" w:rsidP="00000000" w:rsidRDefault="00000000" w:rsidRPr="00000000" w14:paraId="0000001E">
      <w:pPr>
        <w:pageBreakBefore w:val="0"/>
        <w:numPr>
          <w:ilvl w:val="1"/>
          <w:numId w:val="3"/>
        </w:numPr>
        <w:ind w:left="1170" w:hanging="360"/>
        <w:rPr>
          <w:u w:val="none"/>
        </w:rPr>
      </w:pPr>
      <w:r w:rsidDel="00000000" w:rsidR="00000000" w:rsidRPr="00000000">
        <w:rPr>
          <w:color w:val="0000ff"/>
          <w:rtl w:val="0"/>
        </w:rPr>
        <w:t xml:space="preserve">Dissociation only</w:t>
      </w:r>
      <w:r w:rsidDel="00000000" w:rsidR="00000000" w:rsidRPr="00000000">
        <w:rPr>
          <w:rtl w:val="0"/>
        </w:rPr>
        <w:t xml:space="preserve">: generates </w:t>
      </w:r>
      <w:r w:rsidDel="00000000" w:rsidR="00000000" w:rsidRPr="00000000">
        <w:rPr>
          <w:i w:val="1"/>
          <w:rtl w:val="0"/>
        </w:rPr>
        <w:t xml:space="preserve">k</w:t>
      </w:r>
      <w:r w:rsidDel="00000000" w:rsidR="00000000" w:rsidRPr="00000000">
        <w:rPr>
          <w:i w:val="1"/>
          <w:vertAlign w:val="subscript"/>
          <w:rtl w:val="0"/>
        </w:rPr>
        <w:t xml:space="preserve">off</w:t>
      </w:r>
      <w:r w:rsidDel="00000000" w:rsidR="00000000" w:rsidRPr="00000000">
        <w:rPr>
          <w:rtl w:val="0"/>
        </w:rPr>
      </w:r>
    </w:p>
    <w:p w:rsidR="00000000" w:rsidDel="00000000" w:rsidP="00000000" w:rsidRDefault="00000000" w:rsidRPr="00000000" w14:paraId="0000001F">
      <w:pPr>
        <w:pageBreakBefore w:val="0"/>
        <w:numPr>
          <w:ilvl w:val="1"/>
          <w:numId w:val="3"/>
        </w:numPr>
        <w:ind w:left="1170" w:hanging="360"/>
        <w:rPr>
          <w:u w:val="none"/>
        </w:rPr>
      </w:pPr>
      <w:r w:rsidDel="00000000" w:rsidR="00000000" w:rsidRPr="00000000">
        <w:rPr>
          <w:color w:val="ff0000"/>
          <w:rtl w:val="0"/>
        </w:rPr>
        <w:t xml:space="preserve">Association and Dissociation</w:t>
      </w:r>
      <w:r w:rsidDel="00000000" w:rsidR="00000000" w:rsidRPr="00000000">
        <w:rPr>
          <w:rtl w:val="0"/>
        </w:rPr>
        <w:t xml:space="preserve">: generates </w:t>
      </w:r>
      <w:r w:rsidDel="00000000" w:rsidR="00000000" w:rsidRPr="00000000">
        <w:rPr>
          <w:i w:val="1"/>
          <w:rtl w:val="0"/>
        </w:rPr>
        <w:t xml:space="preserve">k</w:t>
      </w:r>
      <w:r w:rsidDel="00000000" w:rsidR="00000000" w:rsidRPr="00000000">
        <w:rPr>
          <w:i w:val="1"/>
          <w:vertAlign w:val="subscript"/>
          <w:rtl w:val="0"/>
        </w:rPr>
        <w:t xml:space="preserve">on</w:t>
      </w:r>
      <w:r w:rsidDel="00000000" w:rsidR="00000000" w:rsidRPr="00000000">
        <w:rPr>
          <w:i w:val="1"/>
          <w:rtl w:val="0"/>
        </w:rPr>
        <w:t xml:space="preserve">, k</w:t>
      </w:r>
      <w:r w:rsidDel="00000000" w:rsidR="00000000" w:rsidRPr="00000000">
        <w:rPr>
          <w:i w:val="1"/>
          <w:vertAlign w:val="subscript"/>
          <w:rtl w:val="0"/>
        </w:rPr>
        <w:t xml:space="preserve">off</w:t>
      </w:r>
      <w:r w:rsidDel="00000000" w:rsidR="00000000" w:rsidRPr="00000000">
        <w:rPr>
          <w:i w:val="1"/>
          <w:rtl w:val="0"/>
        </w:rPr>
        <w:t xml:space="preserve">, k</w:t>
      </w:r>
      <w:r w:rsidDel="00000000" w:rsidR="00000000" w:rsidRPr="00000000">
        <w:rPr>
          <w:i w:val="1"/>
          <w:vertAlign w:val="subscript"/>
          <w:rtl w:val="0"/>
        </w:rPr>
        <w:t xml:space="preserve">obs</w:t>
      </w:r>
      <w:r w:rsidDel="00000000" w:rsidR="00000000" w:rsidRPr="00000000">
        <w:rPr>
          <w:rtl w:val="0"/>
        </w:rPr>
        <w:t xml:space="preserve"> and </w:t>
      </w:r>
      <w:r w:rsidDel="00000000" w:rsidR="00000000" w:rsidRPr="00000000">
        <w:rPr>
          <w:i w:val="1"/>
          <w:rtl w:val="0"/>
        </w:rPr>
        <w:t xml:space="preserve">K</w:t>
      </w:r>
      <w:r w:rsidDel="00000000" w:rsidR="00000000" w:rsidRPr="00000000">
        <w:rPr>
          <w:i w:val="1"/>
          <w:vertAlign w:val="subscript"/>
          <w:rtl w:val="0"/>
        </w:rPr>
        <w:t xml:space="preserve">D</w:t>
      </w:r>
      <w:r w:rsidDel="00000000" w:rsidR="00000000" w:rsidRPr="00000000">
        <w:rPr>
          <w:rtl w:val="0"/>
        </w:rPr>
      </w:r>
    </w:p>
    <w:p w:rsidR="00000000" w:rsidDel="00000000" w:rsidP="00000000" w:rsidRDefault="00000000" w:rsidRPr="00000000" w14:paraId="00000020">
      <w:pPr>
        <w:pageBreakBefore w:val="0"/>
        <w:numPr>
          <w:ilvl w:val="0"/>
          <w:numId w:val="3"/>
        </w:numPr>
        <w:ind w:left="720" w:hanging="360"/>
        <w:rPr>
          <w:u w:val="none"/>
        </w:rPr>
      </w:pPr>
      <w:r w:rsidDel="00000000" w:rsidR="00000000" w:rsidRPr="00000000">
        <w:rPr>
          <w:i w:val="1"/>
          <w:u w:val="single"/>
          <w:rtl w:val="0"/>
        </w:rPr>
        <w:t xml:space="preserve">Select model</w:t>
      </w:r>
      <w:r w:rsidDel="00000000" w:rsidR="00000000" w:rsidRPr="00000000">
        <w:rPr>
          <w:rtl w:val="0"/>
        </w:rPr>
      </w:r>
    </w:p>
    <w:p w:rsidR="00000000" w:rsidDel="00000000" w:rsidP="00000000" w:rsidRDefault="00000000" w:rsidRPr="00000000" w14:paraId="00000021">
      <w:pPr>
        <w:pageBreakBefore w:val="0"/>
        <w:numPr>
          <w:ilvl w:val="1"/>
          <w:numId w:val="2"/>
        </w:numPr>
        <w:ind w:left="1170" w:hanging="360"/>
        <w:rPr>
          <w:u w:val="none"/>
        </w:rPr>
      </w:pPr>
      <w:r w:rsidDel="00000000" w:rsidR="00000000" w:rsidRPr="00000000">
        <w:rPr>
          <w:b w:val="1"/>
          <w:color w:val="ff0000"/>
          <w:rtl w:val="0"/>
        </w:rPr>
        <w:t xml:space="preserve">1:1 Model</w:t>
      </w:r>
      <w:r w:rsidDel="00000000" w:rsidR="00000000" w:rsidRPr="00000000">
        <w:rPr>
          <w:rtl w:val="0"/>
        </w:rPr>
        <w:t xml:space="preserve">: one analyte in solution binding to one binding site on the surface</w:t>
      </w:r>
    </w:p>
    <w:p w:rsidR="00000000" w:rsidDel="00000000" w:rsidP="00000000" w:rsidRDefault="00000000" w:rsidRPr="00000000" w14:paraId="00000022">
      <w:pPr>
        <w:pageBreakBefore w:val="0"/>
        <w:numPr>
          <w:ilvl w:val="1"/>
          <w:numId w:val="3"/>
        </w:numPr>
        <w:ind w:left="1170" w:hanging="360"/>
        <w:rPr>
          <w:u w:val="none"/>
        </w:rPr>
      </w:pPr>
      <w:r w:rsidDel="00000000" w:rsidR="00000000" w:rsidRPr="00000000">
        <w:rPr>
          <w:b w:val="1"/>
          <w:color w:val="351c75"/>
          <w:rtl w:val="0"/>
        </w:rPr>
        <w:t xml:space="preserve">2:1 Model</w:t>
      </w:r>
      <w:r w:rsidDel="00000000" w:rsidR="00000000" w:rsidRPr="00000000">
        <w:rPr>
          <w:rtl w:val="0"/>
        </w:rPr>
        <w:t xml:space="preserve">: one analyte in solution binding </w:t>
      </w:r>
      <w:r w:rsidDel="00000000" w:rsidR="00000000" w:rsidRPr="00000000">
        <w:rPr>
          <w:i w:val="1"/>
          <w:rtl w:val="0"/>
        </w:rPr>
        <w:t xml:space="preserve">two different binding sites</w:t>
      </w:r>
      <w:r w:rsidDel="00000000" w:rsidR="00000000" w:rsidRPr="00000000">
        <w:rPr>
          <w:rtl w:val="0"/>
        </w:rPr>
        <w:t xml:space="preserve"> on the surface (heterogeneous ligands), with different kinetic parameters (</w:t>
      </w:r>
      <w:r w:rsidDel="00000000" w:rsidR="00000000" w:rsidRPr="00000000">
        <w:rPr>
          <w:i w:val="1"/>
          <w:rtl w:val="0"/>
        </w:rPr>
        <w:t xml:space="preserve">k</w:t>
      </w:r>
      <w:r w:rsidDel="00000000" w:rsidR="00000000" w:rsidRPr="00000000">
        <w:rPr>
          <w:i w:val="1"/>
          <w:vertAlign w:val="subscript"/>
          <w:rtl w:val="0"/>
        </w:rPr>
        <w:t xml:space="preserve">on1</w:t>
      </w:r>
      <w:r w:rsidDel="00000000" w:rsidR="00000000" w:rsidRPr="00000000">
        <w:rPr>
          <w:i w:val="1"/>
          <w:rtl w:val="0"/>
        </w:rPr>
        <w:t xml:space="preserve">, k</w:t>
      </w:r>
      <w:r w:rsidDel="00000000" w:rsidR="00000000" w:rsidRPr="00000000">
        <w:rPr>
          <w:i w:val="1"/>
          <w:vertAlign w:val="subscript"/>
          <w:rtl w:val="0"/>
        </w:rPr>
        <w:t xml:space="preserve">off1</w:t>
      </w:r>
      <w:r w:rsidDel="00000000" w:rsidR="00000000" w:rsidRPr="00000000">
        <w:rPr>
          <w:rtl w:val="0"/>
        </w:rPr>
        <w:t xml:space="preserve">, </w:t>
      </w:r>
      <w:r w:rsidDel="00000000" w:rsidR="00000000" w:rsidRPr="00000000">
        <w:rPr>
          <w:i w:val="1"/>
          <w:rtl w:val="0"/>
        </w:rPr>
        <w:t xml:space="preserve">k</w:t>
      </w:r>
      <w:r w:rsidDel="00000000" w:rsidR="00000000" w:rsidRPr="00000000">
        <w:rPr>
          <w:i w:val="1"/>
          <w:vertAlign w:val="subscript"/>
          <w:rtl w:val="0"/>
        </w:rPr>
        <w:t xml:space="preserve">on2</w:t>
      </w:r>
      <w:r w:rsidDel="00000000" w:rsidR="00000000" w:rsidRPr="00000000">
        <w:rPr>
          <w:i w:val="1"/>
          <w:rtl w:val="0"/>
        </w:rPr>
        <w:t xml:space="preserve">, k</w:t>
      </w:r>
      <w:r w:rsidDel="00000000" w:rsidR="00000000" w:rsidRPr="00000000">
        <w:rPr>
          <w:i w:val="1"/>
          <w:vertAlign w:val="subscript"/>
          <w:rtl w:val="0"/>
        </w:rPr>
        <w:t xml:space="preserve">off2</w:t>
      </w:r>
      <w:r w:rsidDel="00000000" w:rsidR="00000000" w:rsidRPr="00000000">
        <w:rPr>
          <w:rtl w:val="0"/>
        </w:rPr>
        <w:t xml:space="preserve">)</w:t>
        <w:br w:type="textWrapping"/>
      </w:r>
      <m:oMath>
        <m:r>
          <w:rPr/>
          <m:t xml:space="preserve">A+B1</m:t>
        </m:r>
        <m:r>
          <w:rPr/>
          <m:t>⇔</m:t>
        </m:r>
        <m:r>
          <w:rPr/>
          <m:t xml:space="preserve">AB1</m:t>
        </m:r>
      </m:oMath>
      <w:r w:rsidDel="00000000" w:rsidR="00000000" w:rsidRPr="00000000">
        <w:rPr>
          <w:rtl w:val="0"/>
        </w:rPr>
        <w:br w:type="textWrapping"/>
      </w:r>
      <m:oMath>
        <m:r>
          <w:rPr/>
          <m:t xml:space="preserve">A+B2</m:t>
        </m:r>
        <m:r>
          <w:rPr/>
          <m:t>⇔</m:t>
        </m:r>
        <m:r>
          <w:rPr/>
          <m:t xml:space="preserve">AB2</m:t>
        </m:r>
      </m:oMath>
      <w:r w:rsidDel="00000000" w:rsidR="00000000" w:rsidRPr="00000000">
        <w:rPr>
          <w:rtl w:val="0"/>
        </w:rPr>
      </w:r>
    </w:p>
    <w:p w:rsidR="00000000" w:rsidDel="00000000" w:rsidP="00000000" w:rsidRDefault="00000000" w:rsidRPr="00000000" w14:paraId="00000023">
      <w:pPr>
        <w:pageBreakBefore w:val="0"/>
        <w:numPr>
          <w:ilvl w:val="1"/>
          <w:numId w:val="3"/>
        </w:numPr>
        <w:ind w:left="1170" w:hanging="360"/>
      </w:pPr>
      <w:r w:rsidDel="00000000" w:rsidR="00000000" w:rsidRPr="00000000">
        <w:rPr>
          <w:b w:val="1"/>
          <w:color w:val="351c75"/>
          <w:rtl w:val="0"/>
        </w:rPr>
        <w:t xml:space="preserve">1:2 Bivalent Analyte Model</w:t>
      </w:r>
      <w:r w:rsidDel="00000000" w:rsidR="00000000" w:rsidRPr="00000000">
        <w:rPr>
          <w:rtl w:val="0"/>
        </w:rPr>
        <w:t xml:space="preserve">:</w:t>
        <w:br w:type="textWrapping"/>
        <w:t xml:space="preserve">one bivalent analyte in solution binding to a monomeric immobilized ligand</w:t>
        <w:br w:type="textWrapping"/>
      </w:r>
      <m:oMath>
        <m:r>
          <w:rPr/>
          <m:t xml:space="preserve">A+B</m:t>
        </m:r>
        <m:r>
          <w:rPr/>
          <m:t>⇔</m:t>
        </m:r>
        <m:r>
          <w:rPr/>
          <m:t xml:space="preserve">AB</m:t>
        </m:r>
        <m:r>
          <w:rPr/>
          <m:t>→</m:t>
        </m:r>
        <m:r>
          <w:rPr/>
          <m:t xml:space="preserve">AB+B</m:t>
        </m:r>
        <m:r>
          <w:rPr/>
          <m:t>⇔</m:t>
        </m:r>
        <m:r>
          <w:rPr/>
          <m:t xml:space="preserve">A</m:t>
        </m:r>
        <m:sSub>
          <m:sSubPr>
            <m:ctrlPr>
              <w:rPr/>
            </m:ctrlPr>
          </m:sSubPr>
          <m:e>
            <m:r>
              <w:rPr/>
              <m:t xml:space="preserve">B</m:t>
            </m:r>
          </m:e>
          <m:sub>
            <m:r>
              <w:rPr/>
              <m:t xml:space="preserve">2</m:t>
            </m:r>
          </m:sub>
        </m:sSub>
      </m:oMath>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170" w:right="0" w:hanging="360"/>
        <w:jc w:val="left"/>
      </w:pPr>
      <w:r w:rsidDel="00000000" w:rsidR="00000000" w:rsidRPr="00000000">
        <w:rPr>
          <w:b w:val="1"/>
          <w:color w:val="351c75"/>
          <w:rtl w:val="0"/>
        </w:rPr>
        <w:t xml:space="preserve">Mass Transport Model</w:t>
      </w:r>
      <w:r w:rsidDel="00000000" w:rsidR="00000000" w:rsidRPr="00000000">
        <w:rPr>
          <w:rtl w:val="0"/>
        </w:rPr>
        <w:t xml:space="preserve">:</w:t>
        <w:br w:type="textWrapping"/>
        <w:t xml:space="preserve">A two-step binding model that involves the analyze first diffusing to the surface of the biosensor and then the specific binding, where the first step is rate-limiting</w:t>
        <w:br w:type="textWrapping"/>
      </w:r>
      <m:oMath>
        <m:sSub>
          <m:sSubPr>
            <m:ctrlPr>
              <w:rPr/>
            </m:ctrlPr>
          </m:sSubPr>
          <m:e>
            <m:r>
              <w:rPr/>
              <m:t xml:space="preserve">A</m:t>
            </m:r>
          </m:e>
          <m:sub>
            <m:r>
              <w:rPr/>
              <m:t xml:space="preserve">bulk</m:t>
            </m:r>
          </m:sub>
        </m:sSub>
        <m:r>
          <w:rPr/>
          <m:t>⇔</m:t>
        </m:r>
        <m:sSub>
          <m:sSubPr>
            <m:ctrlPr>
              <w:rPr/>
            </m:ctrlPr>
          </m:sSubPr>
          <m:e>
            <m:r>
              <w:rPr/>
              <m:t xml:space="preserve">A</m:t>
            </m:r>
          </m:e>
          <m:sub>
            <m:r>
              <w:rPr/>
              <m:t xml:space="preserve">surface</m:t>
            </m:r>
          </m:sub>
        </m:sSub>
        <m:r>
          <w:rPr/>
          <m:t xml:space="preserve">+B</m:t>
        </m:r>
        <m:r>
          <w:rPr/>
          <m:t>⇔</m:t>
        </m:r>
        <m:r>
          <w:rPr/>
          <m:t xml:space="preserve">AB</m:t>
        </m:r>
      </m:oMath>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170" w:right="0" w:hanging="360"/>
        <w:jc w:val="left"/>
        <w:rPr>
          <w:u w:val="none"/>
        </w:rPr>
      </w:pPr>
      <w:r w:rsidDel="00000000" w:rsidR="00000000" w:rsidRPr="00000000">
        <w:rPr>
          <w:rtl w:val="0"/>
        </w:rPr>
        <w:t xml:space="preserve">Except for the high affinity sequences, the 1:1 model fits most of the data very well.</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rPr>
      </w:pPr>
      <w:r w:rsidDel="00000000" w:rsidR="00000000" w:rsidRPr="00000000">
        <w:rPr>
          <w:i w:val="1"/>
          <w:u w:val="single"/>
          <w:rtl w:val="0"/>
        </w:rPr>
        <w:t xml:space="preserve">Fitting local</w:t>
      </w:r>
      <w:r w:rsidDel="00000000" w:rsidR="00000000" w:rsidRPr="00000000">
        <w:rPr>
          <w:u w:val="single"/>
          <w:rtl w:val="0"/>
        </w:rPr>
        <w:br w:type="textWrapping"/>
      </w:r>
      <w:r w:rsidDel="00000000" w:rsidR="00000000" w:rsidRPr="00000000">
        <w:rPr>
          <w:rtl w:val="0"/>
        </w:rPr>
        <w:t xml:space="preserve">In this mode the software calculates kinetic constants for each curve.</w:t>
      </w:r>
    </w:p>
    <w:p w:rsidR="00000000" w:rsidDel="00000000" w:rsidP="00000000" w:rsidRDefault="00000000" w:rsidRPr="00000000" w14:paraId="000000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170" w:right="0" w:hanging="360"/>
        <w:jc w:val="left"/>
      </w:pPr>
      <w:r w:rsidDel="00000000" w:rsidR="00000000" w:rsidRPr="00000000">
        <w:rPr>
          <w:b w:val="1"/>
          <w:color w:val="351c75"/>
          <w:rtl w:val="0"/>
        </w:rPr>
        <w:t xml:space="preserve">Full:</w:t>
      </w:r>
      <w:r w:rsidDel="00000000" w:rsidR="00000000" w:rsidRPr="00000000">
        <w:rPr>
          <w:rtl w:val="0"/>
        </w:rPr>
        <w:t xml:space="preserve"> software assumes that dissociation will eventually reach the pre-association baseline value, and will force the curve fit to that point.</w:t>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170" w:right="0" w:hanging="360"/>
        <w:jc w:val="left"/>
      </w:pPr>
      <w:r w:rsidDel="00000000" w:rsidR="00000000" w:rsidRPr="00000000">
        <w:rPr>
          <w:b w:val="1"/>
          <w:color w:val="351c75"/>
          <w:rtl w:val="0"/>
        </w:rPr>
        <w:t xml:space="preserve">Partial:</w:t>
      </w:r>
      <w:r w:rsidDel="00000000" w:rsidR="00000000" w:rsidRPr="00000000">
        <w:rPr>
          <w:rtl w:val="0"/>
        </w:rPr>
        <w:t xml:space="preserve"> software doesn’t assume the above. Used to fit portions of curves in data sets with significant, or biphasic, dissociation. Note that this option tends to give higher </w:t>
      </w:r>
      <w:r w:rsidDel="00000000" w:rsidR="00000000" w:rsidRPr="00000000">
        <w:rPr>
          <w:i w:val="1"/>
          <w:rtl w:val="0"/>
        </w:rPr>
        <w:t xml:space="preserve">K</w:t>
      </w:r>
      <w:r w:rsidDel="00000000" w:rsidR="00000000" w:rsidRPr="00000000">
        <w:rPr>
          <w:i w:val="1"/>
          <w:vertAlign w:val="subscript"/>
          <w:rtl w:val="0"/>
        </w:rPr>
        <w:t xml:space="preserve">D</w:t>
      </w:r>
      <w:r w:rsidDel="00000000" w:rsidR="00000000" w:rsidRPr="00000000">
        <w:rPr>
          <w:rtl w:val="0"/>
        </w:rPr>
        <w:t xml:space="preserve"> values.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i w:val="1"/>
          <w:u w:val="single"/>
          <w:rtl w:val="0"/>
        </w:rPr>
        <w:t xml:space="preserve">Global Fit</w:t>
      </w:r>
      <w:r w:rsidDel="00000000" w:rsidR="00000000" w:rsidRPr="00000000">
        <w:rPr>
          <w:rtl w:val="0"/>
        </w:rPr>
        <w:br w:type="textWrapping"/>
        <w:t xml:space="preserve">This gives the most accurate kinetic and affinity constants because it utilizes all the data</w:t>
      </w:r>
    </w:p>
    <w:p w:rsidR="00000000" w:rsidDel="00000000" w:rsidP="00000000" w:rsidRDefault="00000000" w:rsidRPr="00000000" w14:paraId="000000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170" w:right="0" w:hanging="360"/>
        <w:jc w:val="left"/>
      </w:pPr>
      <w:r w:rsidDel="00000000" w:rsidR="00000000" w:rsidRPr="00000000">
        <w:rPr>
          <w:b w:val="1"/>
          <w:color w:val="351c75"/>
          <w:rtl w:val="0"/>
        </w:rPr>
        <w:t xml:space="preserve">By sensor: </w:t>
      </w:r>
      <w:r w:rsidDel="00000000" w:rsidR="00000000" w:rsidRPr="00000000">
        <w:rPr>
          <w:rtl w:val="0"/>
        </w:rPr>
        <w:t xml:space="preserve">do not apply to us</w:t>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170" w:right="0" w:hanging="360"/>
        <w:jc w:val="left"/>
        <w:rPr>
          <w:b w:val="1"/>
          <w:color w:val="351c75"/>
          <w:u w:val="none"/>
        </w:rPr>
      </w:pPr>
      <w:r w:rsidDel="00000000" w:rsidR="00000000" w:rsidRPr="00000000">
        <w:rPr>
          <w:b w:val="1"/>
          <w:color w:val="351c75"/>
          <w:rtl w:val="0"/>
        </w:rPr>
        <w:t xml:space="preserve">By color: </w:t>
      </w:r>
      <w:r w:rsidDel="00000000" w:rsidR="00000000" w:rsidRPr="00000000">
        <w:rPr>
          <w:rtl w:val="0"/>
        </w:rPr>
        <w:t xml:space="preserve">group all the data that is the same “color” and applies a global fit to that group. Note that by default, the software will assign </w:t>
      </w:r>
      <w:r w:rsidDel="00000000" w:rsidR="00000000" w:rsidRPr="00000000">
        <w:rPr>
          <w:i w:val="1"/>
          <w:rtl w:val="0"/>
        </w:rPr>
        <w:t xml:space="preserve">different</w:t>
      </w:r>
      <w:r w:rsidDel="00000000" w:rsidR="00000000" w:rsidRPr="00000000">
        <w:rPr>
          <w:rtl w:val="0"/>
        </w:rPr>
        <w:t xml:space="preserve"> colors to different sensors. To use the Global Fit option, first select all sensors in the table below the curves in the Analysis tab, right click and “Set colors”. Choose the same color.</w:t>
      </w:r>
    </w:p>
    <w:p w:rsidR="00000000" w:rsidDel="00000000" w:rsidP="00000000" w:rsidRDefault="00000000" w:rsidRPr="00000000" w14:paraId="000000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170" w:right="0" w:hanging="360"/>
        <w:jc w:val="left"/>
        <w:rPr>
          <w:b w:val="1"/>
          <w:color w:val="351c75"/>
        </w:rPr>
      </w:pPr>
      <w:r w:rsidDel="00000000" w:rsidR="00000000" w:rsidRPr="00000000">
        <w:rPr>
          <w:b w:val="1"/>
          <w:color w:val="351c75"/>
          <w:rtl w:val="0"/>
        </w:rPr>
        <w:t xml:space="preserve">Rmax: </w:t>
      </w:r>
      <w:r w:rsidDel="00000000" w:rsidR="00000000" w:rsidRPr="00000000">
        <w:rPr>
          <w:rtl w:val="0"/>
        </w:rPr>
        <w:t xml:space="preserve">always choose the Rmax Unlinked by Sensor option, which allows for each sensor to have slightly different surface capacity, hence Rmax (aka Bmax).</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i w:val="1"/>
          <w:u w:val="single"/>
          <w:rtl w:val="0"/>
        </w:rPr>
        <w:t xml:space="preserve">Window of interests</w:t>
      </w:r>
      <w:r w:rsidDel="00000000" w:rsidR="00000000" w:rsidRPr="00000000">
        <w:rPr>
          <w:rtl w:val="0"/>
        </w:rPr>
        <w:br w:type="textWrapping"/>
        <w:t xml:space="preserve">We typically use the entire step time for the association, but only use the beginning portion (e.g. 60s) of the dissociation phase, which seemed to improve the fit judged by R</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120" w:lineRule="auto"/>
    </w:pPr>
    <w:rPr>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