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>
          <w:sz w:val="36"/>
          <w:szCs w:val="36"/>
        </w:rPr>
      </w:pPr>
      <w:bookmarkStart w:colFirst="0" w:colLast="0" w:name="_ilip4evfrw1r" w:id="0"/>
      <w:bookmarkEnd w:id="0"/>
      <w:r w:rsidDel="00000000" w:rsidR="00000000" w:rsidRPr="00000000">
        <w:rPr>
          <w:sz w:val="36"/>
          <w:szCs w:val="36"/>
          <w:rtl w:val="0"/>
        </w:rPr>
        <w:t xml:space="preserve">Biolayer Interferometry: Pho4 DBD and 17bp oligo ligand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240" w:lineRule="auto"/>
        <w:rPr/>
      </w:pPr>
      <w:bookmarkStart w:colFirst="0" w:colLast="0" w:name="_wjxjn6w8trqe" w:id="1"/>
      <w:bookmarkEnd w:id="1"/>
      <w:r w:rsidDel="00000000" w:rsidR="00000000" w:rsidRPr="00000000">
        <w:rPr>
          <w:rtl w:val="0"/>
        </w:rPr>
        <w:t xml:space="preserve">Reagents:</w:t>
      </w:r>
    </w:p>
    <w:p w:rsidR="00000000" w:rsidDel="00000000" w:rsidP="00000000" w:rsidRDefault="00000000" w:rsidRPr="00000000" w14:paraId="0000000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76" w:lineRule="auto"/>
        <w:ind w:left="0" w:right="0" w:firstLine="0"/>
        <w:jc w:val="left"/>
        <w:rPr/>
      </w:pPr>
      <w:bookmarkStart w:colFirst="0" w:colLast="0" w:name="_cpckgh8rr4y5" w:id="2"/>
      <w:bookmarkEnd w:id="2"/>
      <w:r w:rsidDel="00000000" w:rsidR="00000000" w:rsidRPr="00000000">
        <w:rPr>
          <w:rtl w:val="0"/>
        </w:rPr>
        <w:t xml:space="preserve">10 x kinetics buffe</w:t>
      </w:r>
      <w:r w:rsidDel="00000000" w:rsidR="00000000" w:rsidRPr="00000000">
        <w:rPr>
          <w:rtl w:val="0"/>
        </w:rPr>
        <w:t xml:space="preserve">r (10 mL)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 #</w:t>
            </w:r>
          </w:p>
        </w:tc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conc.</w:t>
            </w:r>
          </w:p>
        </w:tc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(mL)</w:t>
            </w:r>
          </w:p>
        </w:tc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conc.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Tween-20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Sigma or others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BSA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NEB B9000S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mg/mL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1xPBS, pH=7.4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F/S #10010023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10 mL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00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making 1x KB, dilute the 10x KB 1:10 with the same 1x PBS. Each experiment uses ~7 mL of 1x KB (1.6 mL for hydrating the sensor, 1.6 mL for buffer, 2 mL each for diluting the oligo and biocytin, and 1-2 mL for diluting the protein).</w:t>
      </w:r>
    </w:p>
    <w:p w:rsidR="00000000" w:rsidDel="00000000" w:rsidP="00000000" w:rsidRDefault="00000000" w:rsidRPr="00000000" w14:paraId="00000019">
      <w:pPr>
        <w:pStyle w:val="Heading3"/>
        <w:pageBreakBefore w:val="0"/>
        <w:spacing w:before="240" w:lineRule="auto"/>
        <w:rPr/>
      </w:pPr>
      <w:bookmarkStart w:colFirst="0" w:colLast="0" w:name="_6okclc5jow74" w:id="3"/>
      <w:bookmarkEnd w:id="3"/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Purified Pho4 DBD in 25 mM NaH2PO4, 0.5 M NaCl and 0.5 M THP buffer, stored at 4C, good for about a month. The concentration should be &gt; 1.5 mg/mL and can be aliquoted in 300-500 μl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18iwvakz2hdo" w:id="4"/>
      <w:bookmarkEnd w:id="4"/>
      <w:r w:rsidDel="00000000" w:rsidR="00000000" w:rsidRPr="00000000">
        <w:rPr>
          <w:rtl w:val="0"/>
        </w:rPr>
        <w:t xml:space="preserve">Oligo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10 uM (based on the biotinylated strand) annealed. Link to oligo sequences and IDs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under “Ligand Information”. Protocol for annealing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rPr/>
      </w:pPr>
      <w:bookmarkStart w:colFirst="0" w:colLast="0" w:name="_83atymmdf1f6" w:id="5"/>
      <w:bookmarkEnd w:id="5"/>
      <w:r w:rsidDel="00000000" w:rsidR="00000000" w:rsidRPr="00000000">
        <w:rPr>
          <w:rtl w:val="0"/>
        </w:rPr>
        <w:t xml:space="preserve">Biocytin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 mg/mL stock provided by the P&amp;CF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kkxoh3ggvzxa" w:id="6"/>
      <w:bookmarkEnd w:id="6"/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20">
      <w:pPr>
        <w:pStyle w:val="Heading3"/>
        <w:pageBreakBefore w:val="0"/>
        <w:spacing w:before="120" w:lineRule="auto"/>
        <w:rPr/>
      </w:pPr>
      <w:bookmarkStart w:colFirst="0" w:colLast="0" w:name="_t518joyl7sfl" w:id="7"/>
      <w:bookmarkEnd w:id="7"/>
      <w:r w:rsidDel="00000000" w:rsidR="00000000" w:rsidRPr="00000000">
        <w:rPr>
          <w:rtl w:val="0"/>
        </w:rPr>
        <w:t xml:space="preserve">Annealing oligo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 this before the BLi experiment.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receiving the synthesized biotinylated and regular (complementary) oligos, resuspend the oligo in the </w:t>
      </w:r>
      <w:r w:rsidDel="00000000" w:rsidR="00000000" w:rsidRPr="00000000">
        <w:rPr>
          <w:color w:val="ff0000"/>
          <w:rtl w:val="0"/>
        </w:rPr>
        <w:t xml:space="preserve">IDT duplex buffer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color w:val="0000ff"/>
          <w:rtl w:val="0"/>
        </w:rPr>
        <w:t xml:space="preserve">200 uM</w:t>
      </w:r>
      <w:r w:rsidDel="00000000" w:rsidR="00000000" w:rsidRPr="00000000">
        <w:rPr>
          <w:rtl w:val="0"/>
        </w:rPr>
        <w:t xml:space="preserve"> final concentration.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Turn on the Eppendorf ThermoMixer and set the temperature to 99C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Mix the following ingredients in a 1.7 mL microfuge tube</w:t>
      </w:r>
    </w:p>
    <w:tbl>
      <w:tblPr>
        <w:tblStyle w:val="Table2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55"/>
        <w:gridCol w:w="0"/>
        <w:gridCol w:w="0"/>
        <w:gridCol w:w="0"/>
        <w:tblGridChange w:id="0">
          <w:tblGrid>
            <w:gridCol w:w="2025"/>
            <w:gridCol w:w="2055"/>
            <w:gridCol w:w="0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  <w:tc>
          <w:tcPr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Biotinylated oligo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 oligo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 duplex buffer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 uL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Place the tube in the ThermoMixer and incubate for 5 minutes.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temperature to 25C, and leave the tube on the mixer until the temperature reaches 25C. Remove the tube(s) and put on ice for 5 min, then store at -20C.</w:t>
      </w:r>
    </w:p>
    <w:p w:rsidR="00000000" w:rsidDel="00000000" w:rsidP="00000000" w:rsidRDefault="00000000" w:rsidRPr="00000000" w14:paraId="0000002F">
      <w:pPr>
        <w:pStyle w:val="Heading3"/>
        <w:pageBreakBefore w:val="0"/>
        <w:spacing w:after="80" w:line="240" w:lineRule="auto"/>
        <w:rPr/>
      </w:pPr>
      <w:bookmarkStart w:colFirst="0" w:colLast="0" w:name="_geh5u3e9cvu0" w:id="8"/>
      <w:bookmarkEnd w:id="8"/>
      <w:r w:rsidDel="00000000" w:rsidR="00000000" w:rsidRPr="00000000">
        <w:rPr>
          <w:rtl w:val="0"/>
        </w:rPr>
        <w:t xml:space="preserve">Hydrate the sensors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i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to have the sensors hydrated for </w:t>
      </w:r>
      <w:r w:rsidDel="00000000" w:rsidR="00000000" w:rsidRPr="00000000">
        <w:rPr>
          <w:i w:val="1"/>
          <w:rtl w:val="0"/>
        </w:rPr>
        <w:t xml:space="preserve">1 hour or longer</w:t>
      </w:r>
      <w:r w:rsidDel="00000000" w:rsidR="00000000" w:rsidRPr="00000000">
        <w:rPr>
          <w:rtl w:val="0"/>
        </w:rPr>
        <w:t xml:space="preserve">. Therefore, as soon as you arrive at the core, prepare a tray with a black plate at the bottom and dispense 200 uL 1xKB in each well. Use the special multichannel pipette to transfer new biosensors to the plate. Note: one option is to hydrate the sensors the night before the experiment. Once hydrated, the sensors should stay hydrated and are good for at least a week.</w:t>
      </w:r>
    </w:p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gahhmnnyo12j" w:id="9"/>
      <w:bookmarkEnd w:id="9"/>
      <w:r w:rsidDel="00000000" w:rsidR="00000000" w:rsidRPr="00000000">
        <w:rPr>
          <w:rtl w:val="0"/>
        </w:rPr>
        <w:t xml:space="preserve">Prepare the protein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Chill the refrigerated centrifuge by closing the lid. To speed up the chilling, spin at 4000 rpm and it takes ~8 minutes for the temperature to go from RT to 4C.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Start the DynaPro NanoStar if doing DLS measurements.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ice-bucket filled with ice ready.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centrifuge is chilled, spin down the protein aliquot at 13,000 rpm for 10 min.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concentration of the protein using nanodrop, with the S75 buffer as blank.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2 μl of protein or blank for each measurement.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3 measurements for each sample and take the average.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getting the extinction factor and MW correctly typed in. Note that the A280 10mm is what the instrument actually measures, while the mg/mL is calculated from that value using the extinction factor and MW.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concentration is &gt;20% lower than the last time it was measured, or if the three independent measurements vary a lot, it is likely that the protein quality has gone down. Consider doing an DLS to examine the level of aggregation in the sample.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doing DLS, follow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DLS protocol</w:t>
        </w:r>
      </w:hyperlink>
      <w:r w:rsidDel="00000000" w:rsidR="00000000" w:rsidRPr="00000000">
        <w:rPr>
          <w:rtl w:val="0"/>
        </w:rPr>
        <w:t xml:space="preserve">. Good protein should be within range 1 (1-10 nM) and have an average %PD (polydispersity) at around 5%. However, even with %PD as high as 10%, and with some slight sign of aggregation, e.g. 99.5% by Intensity in Range 1, the sample is likely still good for BLi.</w:t>
      </w:r>
    </w:p>
    <w:p w:rsidR="00000000" w:rsidDel="00000000" w:rsidP="00000000" w:rsidRDefault="00000000" w:rsidRPr="00000000" w14:paraId="0000003C">
      <w:pPr>
        <w:pStyle w:val="Heading3"/>
        <w:pageBreakBefore w:val="0"/>
        <w:spacing w:line="240" w:lineRule="auto"/>
        <w:rPr/>
      </w:pPr>
      <w:bookmarkStart w:colFirst="0" w:colLast="0" w:name="_g98vv42b3kjh" w:id="10"/>
      <w:bookmarkEnd w:id="10"/>
      <w:r w:rsidDel="00000000" w:rsidR="00000000" w:rsidRPr="00000000">
        <w:rPr>
          <w:rtl w:val="0"/>
        </w:rPr>
        <w:t xml:space="preserve">Plan the experiment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Open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 spreadsheet</w:t>
        </w:r>
      </w:hyperlink>
      <w:r w:rsidDel="00000000" w:rsidR="00000000" w:rsidRPr="00000000">
        <w:rPr>
          <w:rtl w:val="0"/>
        </w:rPr>
        <w:t xml:space="preserve"> for BLi and add an entry in the BLi info sheet.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Open one of the template spreadsheets (for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ScPho4</w:t>
        </w:r>
      </w:hyperlink>
      <w:r w:rsidDel="00000000" w:rsidR="00000000" w:rsidRPr="00000000">
        <w:rPr>
          <w:rtl w:val="0"/>
        </w:rPr>
        <w:t xml:space="preserve"> 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CgPho4</w:t>
        </w:r>
      </w:hyperlink>
      <w:r w:rsidDel="00000000" w:rsidR="00000000" w:rsidRPr="00000000">
        <w:rPr>
          <w:rtl w:val="0"/>
        </w:rPr>
        <w:t xml:space="preserve">). Duplicate one of the existing sheets and change the oligo information, title, concentration of the protein sample and the titration series.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spacing w:line="240" w:lineRule="auto"/>
        <w:ind w:left="1440" w:hanging="36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The titration series vary by the oligo’s Kd. A general rule of thumb is to cover between 10x and 1/10 of the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with 7 x 2-3 fold dilutions. For example, if the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(based on previous measurements) is ~ 10 nM, the titration series ideally covers 100 nM to 1 nM.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high affinity sequences, the protein stock will be too concentrated. Make a 1:10 or 1:50 dilution first, and use that as your “stock”.</w:t>
      </w:r>
    </w:p>
    <w:p w:rsidR="00000000" w:rsidDel="00000000" w:rsidP="00000000" w:rsidRDefault="00000000" w:rsidRPr="00000000" w14:paraId="00000041">
      <w:pPr>
        <w:pStyle w:val="Heading3"/>
        <w:pageBreakBefore w:val="0"/>
        <w:spacing w:after="80" w:line="240" w:lineRule="auto"/>
        <w:rPr/>
      </w:pPr>
      <w:bookmarkStart w:colFirst="0" w:colLast="0" w:name="_f7fwbn6d0lfu" w:id="11"/>
      <w:bookmarkEnd w:id="11"/>
      <w:r w:rsidDel="00000000" w:rsidR="00000000" w:rsidRPr="00000000">
        <w:rPr>
          <w:rtl w:val="0"/>
        </w:rPr>
        <w:t xml:space="preserve">Dilute reagents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Thaw the annealed oligo, biocytin stock.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2 mL of 35 nM oligo by adding 7 μl of the 10 uM stock to 1993 μl of 1xKB.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2 mL of 1 ug/mL biocytin by adding 2 μl of the 1mg/mL stock to 2 mL of 1xKB</w:t>
        <w:br w:type="textWrapping"/>
      </w:r>
      <w:r w:rsidDel="00000000" w:rsidR="00000000" w:rsidRPr="00000000">
        <w:rPr>
          <w:i w:val="1"/>
          <w:rtl w:val="0"/>
        </w:rPr>
        <w:t xml:space="preserve">It’s easier to prepare 5 mL of 1ug/mL biocytin in a 5mL tube, which would be good for 3 experiments.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spreadsheet above to make the dilution for the protein.</w:t>
      </w:r>
    </w:p>
    <w:p w:rsidR="00000000" w:rsidDel="00000000" w:rsidP="00000000" w:rsidRDefault="00000000" w:rsidRPr="00000000" w14:paraId="00000046">
      <w:pPr>
        <w:pStyle w:val="Heading3"/>
        <w:pageBreakBefore w:val="0"/>
        <w:spacing w:line="240" w:lineRule="auto"/>
        <w:rPr/>
      </w:pPr>
      <w:bookmarkStart w:colFirst="0" w:colLast="0" w:name="_3culp132cgeq" w:id="12"/>
      <w:bookmarkEnd w:id="12"/>
      <w:r w:rsidDel="00000000" w:rsidR="00000000" w:rsidRPr="00000000">
        <w:rPr>
          <w:rtl w:val="0"/>
        </w:rPr>
        <w:t xml:space="preserve">Set up the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data acquisition software for the instrument, which will also </w:t>
      </w:r>
      <w:r w:rsidDel="00000000" w:rsidR="00000000" w:rsidRPr="00000000">
        <w:rPr>
          <w:u w:val="single"/>
          <w:rtl w:val="0"/>
        </w:rPr>
        <w:t xml:space="preserve">warm it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Aliquot the reagents into four columns within a black 96 well plate following the template you set up above, in the following format</w:t>
      </w:r>
    </w:p>
    <w:tbl>
      <w:tblPr>
        <w:tblStyle w:val="Table3"/>
        <w:tblW w:w="77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425"/>
        <w:gridCol w:w="1665"/>
        <w:gridCol w:w="1695"/>
        <w:gridCol w:w="1890"/>
        <w:tblGridChange w:id="0">
          <w:tblGrid>
            <w:gridCol w:w="1110"/>
            <w:gridCol w:w="1425"/>
            <w:gridCol w:w="1665"/>
            <w:gridCol w:w="169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 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1xKB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35nM Oligo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1ug/ml Biocytin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[Protein]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tray with rehydrated biosensors along with the experimental 96 well plate into the instrument.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data acquisition software, open a new kinetics experiment with the experiment wizard or open an existing method.</w:t>
        <w:br w:type="textWrapping"/>
      </w:r>
      <w:r w:rsidDel="00000000" w:rsidR="00000000" w:rsidRPr="00000000">
        <w:rPr>
          <w:i w:val="1"/>
          <w:rtl w:val="0"/>
        </w:rPr>
        <w:t xml:space="preserve">It’s easiest to find a previous experiment with a similar setting and use its method as a template. Simply navigate to that experiment’s folder and you will find a method file.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five tabs. Tab 1 is for entering the reagent plate. We need four columns per experiment, namely buffer, load (oligo), load (biocytin, for blocking) and sample (we use top well for reference, i.e., buffer only); Tab 2 is for setting up the program (moving of the sensors); Tab 3 is for specifying the sensor locations in the sensor plate (please record the lot number). Tab 4 is to review the experiment and Tab 5 is to set the path and filename to save the data. When everything is entered, hit GO.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c6hmko74yjwv" w:id="13"/>
      <w:bookmarkEnd w:id="1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7A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See this protocol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40" w:lineRule="auto"/>
    </w:pPr>
    <w:rPr>
      <w:b w:val="1"/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z-dBELVe8qtDPbY7EUSNsu1FsokRWpgNVChHTpqlwNY/edit" TargetMode="External"/><Relationship Id="rId10" Type="http://schemas.openxmlformats.org/officeDocument/2006/relationships/hyperlink" Target="https://docs.google.com/spreadsheets/u/0/d/14PEEyiqMr1BrhxWasQOloLYX-HHDjmcgf44-iMh8W6o/edit" TargetMode="External"/><Relationship Id="rId9" Type="http://schemas.openxmlformats.org/officeDocument/2006/relationships/hyperlink" Target="https://docs.google.com/spreadsheets/u/0/d/15zIUM0KWDPyda9uqpADV2S-FgkEJfgJSYGqbfHXJoTM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ayFLmaEQWC5KL2AWXR1dca7oWqA9YfdvZnHMiRrGySU/edit" TargetMode="External"/><Relationship Id="rId7" Type="http://schemas.openxmlformats.org/officeDocument/2006/relationships/hyperlink" Target="https://docs.google.com/document/u/0/d/1v2xH5VOL_tmzeCO5WFiBHpjrcAYHWQKiE9QWT2owEb8/edit" TargetMode="External"/><Relationship Id="rId8" Type="http://schemas.openxmlformats.org/officeDocument/2006/relationships/hyperlink" Target="https://docs.google.com/spreadsheets/u/0/d/1ayFLmaEQWC5KL2AWXR1dca7oWqA9YfdvZnHMiRrGyS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