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r>
        <w:rPr>
          <w:rFonts w:ascii="Arial" w:hAnsi="Arial" w:eastAsia="Arial"/>
          <w:color w:val="211D20"/>
          <w:sz w:val="20"/>
        </w:rPr>
        <w:t>Cùng ngày, giao diện máy tính được rà lại từng màn (chụp ở 1440×900 và 1280×720) và phần luyện thi được dựng lại cho giống phần mềm thi trên máy: khung cố định vừa màn hình, đề và câu hỏi cuộn riêng, bảng câu hỏi và nút Nháp ở thanh dưới, Nghe và Nói ở cột giữa, con trỏ hệ thống trong phòng thi. Đây là cách bố trí thường gặp ở phần mềm thi trên máy, không phải phần mềm VSTEP chính thức. Chưa có ai ngoài các ca kiểm thử tự động dùng thử; nên để Gùa làm thử một phần Đọc và một phần Viết rồi nói chỗ nào còn vướng. Chi tiết nằm ở đầu QUALITY.md.</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282/282</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159 ca: 151 Chromium, bốn Firefox, bốn WebKit; lượt Chromium đầy đủ mới nhất đạt 151/151</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112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151/151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