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022" w:rsidRPr="005E1022" w:rsidRDefault="005E1022" w:rsidP="005E1022">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r w:rsidRPr="005E1022">
        <w:rPr>
          <w:rFonts w:ascii="Times New Roman" w:eastAsia="Times New Roman" w:hAnsi="Times New Roman" w:cs="Times New Roman"/>
          <w:b/>
          <w:bCs/>
          <w:sz w:val="27"/>
          <w:szCs w:val="27"/>
        </w:rPr>
        <w:t>1. Article 24: General Requirements for Trading Platforms or Systems</w:t>
      </w:r>
    </w:p>
    <w:bookmarkEnd w:id="0"/>
    <w:p w:rsidR="005E1022" w:rsidRPr="005E1022" w:rsidRDefault="005E1022" w:rsidP="005E10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1022">
        <w:rPr>
          <w:rFonts w:ascii="Times New Roman" w:eastAsia="Times New Roman" w:hAnsi="Times New Roman" w:cs="Times New Roman"/>
          <w:sz w:val="24"/>
          <w:szCs w:val="24"/>
        </w:rPr>
        <w:t>The Exchange must have effective systems, procedures, and arrangements to ensure its trading platform or systems are resilient, have sufficient capacity to deal with peak order and message volumes, enable orderly trading under severe market stress, and reject orders that exceed predetermined thresholds​(Directive-on-Licensing-…).</w:t>
      </w:r>
    </w:p>
    <w:p w:rsidR="005E1022" w:rsidRPr="005E1022" w:rsidRDefault="005E1022" w:rsidP="005E1022">
      <w:pPr>
        <w:spacing w:before="100" w:beforeAutospacing="1" w:after="100" w:afterAutospacing="1" w:line="240" w:lineRule="auto"/>
        <w:outlineLvl w:val="2"/>
        <w:rPr>
          <w:rFonts w:ascii="Times New Roman" w:eastAsia="Times New Roman" w:hAnsi="Times New Roman" w:cs="Times New Roman"/>
          <w:b/>
          <w:bCs/>
          <w:sz w:val="27"/>
          <w:szCs w:val="27"/>
        </w:rPr>
      </w:pPr>
      <w:r w:rsidRPr="005E1022">
        <w:rPr>
          <w:rFonts w:ascii="Times New Roman" w:eastAsia="Times New Roman" w:hAnsi="Times New Roman" w:cs="Times New Roman"/>
          <w:b/>
          <w:bCs/>
          <w:sz w:val="27"/>
          <w:szCs w:val="27"/>
        </w:rPr>
        <w:t>2. Article 25: Trading Platforms or Systems Capacity</w:t>
      </w:r>
    </w:p>
    <w:p w:rsidR="005E1022" w:rsidRPr="005E1022" w:rsidRDefault="005E1022" w:rsidP="005E10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1022">
        <w:rPr>
          <w:rFonts w:ascii="Times New Roman" w:eastAsia="Times New Roman" w:hAnsi="Times New Roman" w:cs="Times New Roman"/>
          <w:sz w:val="24"/>
          <w:szCs w:val="24"/>
        </w:rPr>
        <w:t>The Exchange is required to ensure that its trading platform or system has sufficient capacity to perform its functions without failures, outages, or errors in matching transactions. This includes provisions on order entry, routing, trade execution, and monitoring performance​(Directive-on-Licensing-…).</w:t>
      </w:r>
    </w:p>
    <w:p w:rsidR="005E1022" w:rsidRPr="005E1022" w:rsidRDefault="005E1022" w:rsidP="005E1022">
      <w:pPr>
        <w:spacing w:before="100" w:beforeAutospacing="1" w:after="100" w:afterAutospacing="1" w:line="240" w:lineRule="auto"/>
        <w:outlineLvl w:val="2"/>
        <w:rPr>
          <w:rFonts w:ascii="Times New Roman" w:eastAsia="Times New Roman" w:hAnsi="Times New Roman" w:cs="Times New Roman"/>
          <w:b/>
          <w:bCs/>
          <w:sz w:val="27"/>
          <w:szCs w:val="27"/>
        </w:rPr>
      </w:pPr>
      <w:r w:rsidRPr="005E1022">
        <w:rPr>
          <w:rFonts w:ascii="Times New Roman" w:eastAsia="Times New Roman" w:hAnsi="Times New Roman" w:cs="Times New Roman"/>
          <w:b/>
          <w:bCs/>
          <w:sz w:val="27"/>
          <w:szCs w:val="27"/>
        </w:rPr>
        <w:t>3. Article 26: Trading Platforms or Systems Capabilities</w:t>
      </w:r>
    </w:p>
    <w:p w:rsidR="005E1022" w:rsidRPr="005E1022" w:rsidRDefault="005E1022" w:rsidP="005E10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1022">
        <w:rPr>
          <w:rFonts w:ascii="Times New Roman" w:eastAsia="Times New Roman" w:hAnsi="Times New Roman" w:cs="Times New Roman"/>
          <w:sz w:val="24"/>
          <w:szCs w:val="24"/>
        </w:rPr>
        <w:t>Specifies that the Exchange should have systems, procedures, and arrangements to handle disorderly trading conditions, manage Algorithmic Trading systems, and ensure that trading is orderly under exceptional circumstances​(Directive-on-Licensing-…).</w:t>
      </w:r>
    </w:p>
    <w:p w:rsidR="005E1022" w:rsidRPr="005E1022" w:rsidRDefault="005E1022" w:rsidP="005E1022">
      <w:pPr>
        <w:spacing w:before="100" w:beforeAutospacing="1" w:after="100" w:afterAutospacing="1" w:line="240" w:lineRule="auto"/>
        <w:outlineLvl w:val="2"/>
        <w:rPr>
          <w:rFonts w:ascii="Times New Roman" w:eastAsia="Times New Roman" w:hAnsi="Times New Roman" w:cs="Times New Roman"/>
          <w:b/>
          <w:bCs/>
          <w:sz w:val="27"/>
          <w:szCs w:val="27"/>
        </w:rPr>
      </w:pPr>
      <w:r w:rsidRPr="005E1022">
        <w:rPr>
          <w:rFonts w:ascii="Times New Roman" w:eastAsia="Times New Roman" w:hAnsi="Times New Roman" w:cs="Times New Roman"/>
          <w:b/>
          <w:bCs/>
          <w:sz w:val="27"/>
          <w:szCs w:val="27"/>
        </w:rPr>
        <w:t>4. Article 27: Trading Platform or System: Conditions for Use</w:t>
      </w:r>
    </w:p>
    <w:p w:rsidR="005E1022" w:rsidRPr="005E1022" w:rsidRDefault="005E1022" w:rsidP="005E10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1022">
        <w:rPr>
          <w:rFonts w:ascii="Times New Roman" w:eastAsia="Times New Roman" w:hAnsi="Times New Roman" w:cs="Times New Roman"/>
          <w:sz w:val="24"/>
          <w:szCs w:val="24"/>
        </w:rPr>
        <w:t xml:space="preserve">The Exchange must establish conditions for using its electronic order submission systems </w:t>
      </w:r>
      <w:proofErr w:type="gramStart"/>
      <w:r w:rsidRPr="005E1022">
        <w:rPr>
          <w:rFonts w:ascii="Times New Roman" w:eastAsia="Times New Roman" w:hAnsi="Times New Roman" w:cs="Times New Roman"/>
          <w:sz w:val="24"/>
          <w:szCs w:val="24"/>
        </w:rPr>
        <w:t>by</w:t>
      </w:r>
      <w:proofErr w:type="gramEnd"/>
      <w:r w:rsidRPr="005E1022">
        <w:rPr>
          <w:rFonts w:ascii="Times New Roman" w:eastAsia="Times New Roman" w:hAnsi="Times New Roman" w:cs="Times New Roman"/>
          <w:sz w:val="24"/>
          <w:szCs w:val="24"/>
        </w:rPr>
        <w:t xml:space="preserve"> its members, including pre-trade and post-trade controls, staff qualifications, and functional conformance testing​(Directive-on-Licensing-…).</w:t>
      </w:r>
    </w:p>
    <w:p w:rsidR="005E1022" w:rsidRPr="005E1022" w:rsidRDefault="005E1022" w:rsidP="005E1022">
      <w:pPr>
        <w:spacing w:before="100" w:beforeAutospacing="1" w:after="100" w:afterAutospacing="1" w:line="240" w:lineRule="auto"/>
        <w:outlineLvl w:val="2"/>
        <w:rPr>
          <w:rFonts w:ascii="Times New Roman" w:eastAsia="Times New Roman" w:hAnsi="Times New Roman" w:cs="Times New Roman"/>
          <w:b/>
          <w:bCs/>
          <w:sz w:val="27"/>
          <w:szCs w:val="27"/>
        </w:rPr>
      </w:pPr>
      <w:r w:rsidRPr="005E1022">
        <w:rPr>
          <w:rFonts w:ascii="Times New Roman" w:eastAsia="Times New Roman" w:hAnsi="Times New Roman" w:cs="Times New Roman"/>
          <w:b/>
          <w:bCs/>
          <w:sz w:val="27"/>
          <w:szCs w:val="27"/>
        </w:rPr>
        <w:t>5. Article 28: Systems, Controls, and Governance Arrangements</w:t>
      </w:r>
    </w:p>
    <w:p w:rsidR="005E1022" w:rsidRPr="005E1022" w:rsidRDefault="005E1022" w:rsidP="005E10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1022">
        <w:rPr>
          <w:rFonts w:ascii="Times New Roman" w:eastAsia="Times New Roman" w:hAnsi="Times New Roman" w:cs="Times New Roman"/>
          <w:sz w:val="24"/>
          <w:szCs w:val="24"/>
        </w:rPr>
        <w:t>The Exchange must have adequate systems and controls in place to manage significant risks and ensure efficient operations. It includes contingency plans for system disruptions and managing potential conflicts of interest​(Directive-on-Licensing-…).</w:t>
      </w:r>
    </w:p>
    <w:p w:rsidR="005E1022" w:rsidRPr="005E1022" w:rsidRDefault="005E1022" w:rsidP="005E1022">
      <w:pPr>
        <w:spacing w:before="100" w:beforeAutospacing="1" w:after="100" w:afterAutospacing="1" w:line="240" w:lineRule="auto"/>
        <w:outlineLvl w:val="2"/>
        <w:rPr>
          <w:rFonts w:ascii="Times New Roman" w:eastAsia="Times New Roman" w:hAnsi="Times New Roman" w:cs="Times New Roman"/>
          <w:b/>
          <w:bCs/>
          <w:sz w:val="27"/>
          <w:szCs w:val="27"/>
        </w:rPr>
      </w:pPr>
      <w:r w:rsidRPr="005E1022">
        <w:rPr>
          <w:rFonts w:ascii="Times New Roman" w:eastAsia="Times New Roman" w:hAnsi="Times New Roman" w:cs="Times New Roman"/>
          <w:b/>
          <w:bCs/>
          <w:sz w:val="27"/>
          <w:szCs w:val="27"/>
        </w:rPr>
        <w:t>6. Article 29: Prevention of Disorderly Trading Conditions</w:t>
      </w:r>
    </w:p>
    <w:p w:rsidR="005E1022" w:rsidRPr="005E1022" w:rsidRDefault="005E1022" w:rsidP="005E10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1022">
        <w:rPr>
          <w:rFonts w:ascii="Times New Roman" w:eastAsia="Times New Roman" w:hAnsi="Times New Roman" w:cs="Times New Roman"/>
          <w:sz w:val="24"/>
          <w:szCs w:val="24"/>
        </w:rPr>
        <w:t>Requires the Exchange to have arrangements in place to prevent disorderly trading, such as order limits, volatility management mechanisms, and pre-trade and post-trade controls​(Directive-on-Licensing-…).</w:t>
      </w:r>
    </w:p>
    <w:p w:rsidR="005E1022" w:rsidRPr="005E1022" w:rsidRDefault="005E1022" w:rsidP="005E1022">
      <w:pPr>
        <w:spacing w:before="100" w:beforeAutospacing="1" w:after="100" w:afterAutospacing="1" w:line="240" w:lineRule="auto"/>
        <w:outlineLvl w:val="2"/>
        <w:rPr>
          <w:rFonts w:ascii="Times New Roman" w:eastAsia="Times New Roman" w:hAnsi="Times New Roman" w:cs="Times New Roman"/>
          <w:b/>
          <w:bCs/>
          <w:sz w:val="27"/>
          <w:szCs w:val="27"/>
        </w:rPr>
      </w:pPr>
      <w:r w:rsidRPr="005E1022">
        <w:rPr>
          <w:rFonts w:ascii="Times New Roman" w:eastAsia="Times New Roman" w:hAnsi="Times New Roman" w:cs="Times New Roman"/>
          <w:b/>
          <w:bCs/>
          <w:sz w:val="27"/>
          <w:szCs w:val="27"/>
        </w:rPr>
        <w:t>7. Article 30: Testing of the Proper Functioning of the Trading Platform or System</w:t>
      </w:r>
    </w:p>
    <w:p w:rsidR="005E1022" w:rsidRPr="005E1022" w:rsidRDefault="005E1022" w:rsidP="005E102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E1022">
        <w:rPr>
          <w:rFonts w:ascii="Times New Roman" w:eastAsia="Times New Roman" w:hAnsi="Times New Roman" w:cs="Times New Roman"/>
          <w:sz w:val="24"/>
          <w:szCs w:val="24"/>
        </w:rPr>
        <w:t>The Exchange must ensure that before deploying or updating a trading platform or system, proper testing methodologies are used to verify its functionality and compliance with risk management controls​(Directive-on-Licensing-…).</w:t>
      </w:r>
    </w:p>
    <w:p w:rsidR="005E1022" w:rsidRPr="005E1022" w:rsidRDefault="005E1022" w:rsidP="005E1022">
      <w:pPr>
        <w:spacing w:before="100" w:beforeAutospacing="1" w:after="100" w:afterAutospacing="1" w:line="240" w:lineRule="auto"/>
        <w:outlineLvl w:val="2"/>
        <w:rPr>
          <w:rFonts w:ascii="Times New Roman" w:eastAsia="Times New Roman" w:hAnsi="Times New Roman" w:cs="Times New Roman"/>
          <w:b/>
          <w:bCs/>
          <w:sz w:val="27"/>
          <w:szCs w:val="27"/>
        </w:rPr>
      </w:pPr>
      <w:r w:rsidRPr="005E1022">
        <w:rPr>
          <w:rFonts w:ascii="Times New Roman" w:eastAsia="Times New Roman" w:hAnsi="Times New Roman" w:cs="Times New Roman"/>
          <w:b/>
          <w:bCs/>
          <w:sz w:val="27"/>
          <w:szCs w:val="27"/>
        </w:rPr>
        <w:lastRenderedPageBreak/>
        <w:t>8. Article 31: Ongoing Monitoring of the Trading Platform or System</w:t>
      </w:r>
    </w:p>
    <w:p w:rsidR="005E1022" w:rsidRPr="005E1022" w:rsidRDefault="005E1022" w:rsidP="005E102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E1022">
        <w:rPr>
          <w:rFonts w:ascii="Times New Roman" w:eastAsia="Times New Roman" w:hAnsi="Times New Roman" w:cs="Times New Roman"/>
          <w:sz w:val="24"/>
          <w:szCs w:val="24"/>
        </w:rPr>
        <w:t>Requires the Exchange to continuously monitor the performance and usage of its trading platform or systems in real-time to ensure effective functioning and make adjustments as needed​(Directive-on-Licensing-…).</w:t>
      </w:r>
    </w:p>
    <w:p w:rsidR="005E1022" w:rsidRPr="005E1022" w:rsidRDefault="005E1022" w:rsidP="005E1022">
      <w:pPr>
        <w:spacing w:before="100" w:beforeAutospacing="1" w:after="100" w:afterAutospacing="1" w:line="240" w:lineRule="auto"/>
        <w:outlineLvl w:val="2"/>
        <w:rPr>
          <w:rFonts w:ascii="Times New Roman" w:eastAsia="Times New Roman" w:hAnsi="Times New Roman" w:cs="Times New Roman"/>
          <w:b/>
          <w:bCs/>
          <w:sz w:val="27"/>
          <w:szCs w:val="27"/>
        </w:rPr>
      </w:pPr>
      <w:r w:rsidRPr="005E1022">
        <w:rPr>
          <w:rFonts w:ascii="Times New Roman" w:eastAsia="Times New Roman" w:hAnsi="Times New Roman" w:cs="Times New Roman"/>
          <w:b/>
          <w:bCs/>
          <w:sz w:val="27"/>
          <w:szCs w:val="27"/>
        </w:rPr>
        <w:t>9. Article 32: Mechanisms to Manage Volatility</w:t>
      </w:r>
    </w:p>
    <w:p w:rsidR="005E1022" w:rsidRPr="005E1022" w:rsidRDefault="005E1022" w:rsidP="005E102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E1022">
        <w:rPr>
          <w:rFonts w:ascii="Times New Roman" w:eastAsia="Times New Roman" w:hAnsi="Times New Roman" w:cs="Times New Roman"/>
          <w:sz w:val="24"/>
          <w:szCs w:val="24"/>
        </w:rPr>
        <w:t>The Exchange must have automatic systems to halt or constrain trading operations during trading hours to manage volatility effectively​(Directive-on-Licensing-…).</w:t>
      </w:r>
    </w:p>
    <w:p w:rsidR="005E1022" w:rsidRPr="005E1022" w:rsidRDefault="005E1022" w:rsidP="005E1022">
      <w:pPr>
        <w:spacing w:before="100" w:beforeAutospacing="1" w:after="100" w:afterAutospacing="1" w:line="240" w:lineRule="auto"/>
        <w:outlineLvl w:val="2"/>
        <w:rPr>
          <w:rFonts w:ascii="Times New Roman" w:eastAsia="Times New Roman" w:hAnsi="Times New Roman" w:cs="Times New Roman"/>
          <w:b/>
          <w:bCs/>
          <w:sz w:val="27"/>
          <w:szCs w:val="27"/>
        </w:rPr>
      </w:pPr>
      <w:r w:rsidRPr="005E1022">
        <w:rPr>
          <w:rFonts w:ascii="Times New Roman" w:eastAsia="Times New Roman" w:hAnsi="Times New Roman" w:cs="Times New Roman"/>
          <w:b/>
          <w:bCs/>
          <w:sz w:val="27"/>
          <w:szCs w:val="27"/>
        </w:rPr>
        <w:t>10. Article 33: Pre-Trade and Post-Trade Control</w:t>
      </w:r>
    </w:p>
    <w:p w:rsidR="005E1022" w:rsidRPr="005E1022" w:rsidRDefault="005E1022" w:rsidP="005E102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E1022">
        <w:rPr>
          <w:rFonts w:ascii="Times New Roman" w:eastAsia="Times New Roman" w:hAnsi="Times New Roman" w:cs="Times New Roman"/>
          <w:sz w:val="24"/>
          <w:szCs w:val="24"/>
        </w:rPr>
        <w:t>Specifies the implementation of pre-trade and post-trade controls, including price collars, maximum order values, and volumes to maintain orderly trading conditions​(Directive-on-Licensing-…).</w:t>
      </w:r>
    </w:p>
    <w:p w:rsidR="005E1022" w:rsidRPr="005E1022" w:rsidRDefault="005E1022" w:rsidP="005E1022">
      <w:pPr>
        <w:spacing w:before="100" w:beforeAutospacing="1" w:after="100" w:afterAutospacing="1" w:line="240" w:lineRule="auto"/>
        <w:outlineLvl w:val="2"/>
        <w:rPr>
          <w:rFonts w:ascii="Times New Roman" w:eastAsia="Times New Roman" w:hAnsi="Times New Roman" w:cs="Times New Roman"/>
          <w:b/>
          <w:bCs/>
          <w:sz w:val="27"/>
          <w:szCs w:val="27"/>
        </w:rPr>
      </w:pPr>
      <w:r w:rsidRPr="005E1022">
        <w:rPr>
          <w:rFonts w:ascii="Times New Roman" w:eastAsia="Times New Roman" w:hAnsi="Times New Roman" w:cs="Times New Roman"/>
          <w:b/>
          <w:bCs/>
          <w:sz w:val="27"/>
          <w:szCs w:val="27"/>
        </w:rPr>
        <w:t>11. Article 34: Tick Sizes</w:t>
      </w:r>
    </w:p>
    <w:p w:rsidR="005E1022" w:rsidRPr="005E1022" w:rsidRDefault="005E1022" w:rsidP="005E102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E1022">
        <w:rPr>
          <w:rFonts w:ascii="Times New Roman" w:eastAsia="Times New Roman" w:hAnsi="Times New Roman" w:cs="Times New Roman"/>
          <w:sz w:val="24"/>
          <w:szCs w:val="24"/>
        </w:rPr>
        <w:t>The Exchange is required to implement a Tick size regime for all securities that reflect their liquidity profile and market conditions​(Directive-on-Licensing-…).</w:t>
      </w:r>
    </w:p>
    <w:p w:rsidR="005E1022" w:rsidRPr="005E1022" w:rsidRDefault="005E1022" w:rsidP="005E1022">
      <w:pPr>
        <w:spacing w:before="100" w:beforeAutospacing="1" w:after="100" w:afterAutospacing="1" w:line="240" w:lineRule="auto"/>
        <w:outlineLvl w:val="2"/>
        <w:rPr>
          <w:rFonts w:ascii="Times New Roman" w:eastAsia="Times New Roman" w:hAnsi="Times New Roman" w:cs="Times New Roman"/>
          <w:b/>
          <w:bCs/>
          <w:sz w:val="27"/>
          <w:szCs w:val="27"/>
        </w:rPr>
      </w:pPr>
      <w:r w:rsidRPr="005E1022">
        <w:rPr>
          <w:rFonts w:ascii="Times New Roman" w:eastAsia="Times New Roman" w:hAnsi="Times New Roman" w:cs="Times New Roman"/>
          <w:b/>
          <w:bCs/>
          <w:sz w:val="27"/>
          <w:szCs w:val="27"/>
        </w:rPr>
        <w:t>12. Article 42: Technical and Functional Conformance Testing</w:t>
      </w:r>
    </w:p>
    <w:p w:rsidR="005E1022" w:rsidRPr="005E1022" w:rsidRDefault="005E1022" w:rsidP="005E102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E1022">
        <w:rPr>
          <w:rFonts w:ascii="Times New Roman" w:eastAsia="Times New Roman" w:hAnsi="Times New Roman" w:cs="Times New Roman"/>
          <w:sz w:val="24"/>
          <w:szCs w:val="24"/>
        </w:rPr>
        <w:t>Mandates that members of the Exchange perform conformance and compliance testing of their systems, algorithms, or strategies before deployment or substantial updates​(Directive-on-Licensing-…).</w:t>
      </w:r>
    </w:p>
    <w:p w:rsidR="005E1022" w:rsidRPr="005E1022" w:rsidRDefault="005E1022" w:rsidP="005E1022">
      <w:pPr>
        <w:spacing w:before="100" w:beforeAutospacing="1" w:after="100" w:afterAutospacing="1" w:line="240" w:lineRule="auto"/>
        <w:outlineLvl w:val="2"/>
        <w:rPr>
          <w:rFonts w:ascii="Times New Roman" w:eastAsia="Times New Roman" w:hAnsi="Times New Roman" w:cs="Times New Roman"/>
          <w:b/>
          <w:bCs/>
          <w:sz w:val="27"/>
          <w:szCs w:val="27"/>
        </w:rPr>
      </w:pPr>
      <w:r w:rsidRPr="005E1022">
        <w:rPr>
          <w:rFonts w:ascii="Times New Roman" w:eastAsia="Times New Roman" w:hAnsi="Times New Roman" w:cs="Times New Roman"/>
          <w:b/>
          <w:bCs/>
          <w:sz w:val="27"/>
          <w:szCs w:val="27"/>
        </w:rPr>
        <w:t>13. Article 43: Testing of Trading Systems, Strategies, or Algorithms</w:t>
      </w:r>
    </w:p>
    <w:p w:rsidR="005E1022" w:rsidRPr="005E1022" w:rsidRDefault="005E1022" w:rsidP="005E102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E1022">
        <w:rPr>
          <w:rFonts w:ascii="Times New Roman" w:eastAsia="Times New Roman" w:hAnsi="Times New Roman" w:cs="Times New Roman"/>
          <w:sz w:val="24"/>
          <w:szCs w:val="24"/>
        </w:rPr>
        <w:t>The Exchange must ensure that its members test their trading systems, strategies, or algorithms to prevent disorderly trading conditions​(Directive-on-Licensing-…).</w:t>
      </w:r>
    </w:p>
    <w:p w:rsidR="005F7602" w:rsidRDefault="005F7602"/>
    <w:sectPr w:rsidR="005F7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3BFD"/>
    <w:multiLevelType w:val="multilevel"/>
    <w:tmpl w:val="4CA0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0168C"/>
    <w:multiLevelType w:val="multilevel"/>
    <w:tmpl w:val="3CD6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73F2E"/>
    <w:multiLevelType w:val="multilevel"/>
    <w:tmpl w:val="EE04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551BB"/>
    <w:multiLevelType w:val="multilevel"/>
    <w:tmpl w:val="9520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0700B"/>
    <w:multiLevelType w:val="multilevel"/>
    <w:tmpl w:val="5FAE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E4677"/>
    <w:multiLevelType w:val="multilevel"/>
    <w:tmpl w:val="2F9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8C6082"/>
    <w:multiLevelType w:val="multilevel"/>
    <w:tmpl w:val="2BCE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64D67"/>
    <w:multiLevelType w:val="multilevel"/>
    <w:tmpl w:val="41AE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B08DB"/>
    <w:multiLevelType w:val="multilevel"/>
    <w:tmpl w:val="C73E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A03F0B"/>
    <w:multiLevelType w:val="multilevel"/>
    <w:tmpl w:val="A116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DD5905"/>
    <w:multiLevelType w:val="multilevel"/>
    <w:tmpl w:val="D07E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3A4EFB"/>
    <w:multiLevelType w:val="multilevel"/>
    <w:tmpl w:val="8F78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92103B"/>
    <w:multiLevelType w:val="multilevel"/>
    <w:tmpl w:val="CD62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2"/>
  </w:num>
  <w:num w:numId="4">
    <w:abstractNumId w:val="6"/>
  </w:num>
  <w:num w:numId="5">
    <w:abstractNumId w:val="0"/>
  </w:num>
  <w:num w:numId="6">
    <w:abstractNumId w:val="11"/>
  </w:num>
  <w:num w:numId="7">
    <w:abstractNumId w:val="5"/>
  </w:num>
  <w:num w:numId="8">
    <w:abstractNumId w:val="12"/>
  </w:num>
  <w:num w:numId="9">
    <w:abstractNumId w:val="1"/>
  </w:num>
  <w:num w:numId="10">
    <w:abstractNumId w:val="10"/>
  </w:num>
  <w:num w:numId="11">
    <w:abstractNumId w:val="8"/>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022"/>
    <w:rsid w:val="005E1022"/>
    <w:rsid w:val="005F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A8527-110F-46C9-AAD9-703492D0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75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biniyam kefelegn</dc:creator>
  <cp:keywords/>
  <dc:description/>
  <cp:lastModifiedBy>biniyam kefelegn</cp:lastModifiedBy>
  <cp:revision>1</cp:revision>
  <dcterms:created xsi:type="dcterms:W3CDTF">2024-09-04T18:04:00Z</dcterms:created>
  <dcterms:modified xsi:type="dcterms:W3CDTF">2024-09-04T18:05:00Z</dcterms:modified>
</cp:coreProperties>
</file>